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78A39" w14:textId="77777777" w:rsidR="00E524F4" w:rsidRPr="00434099" w:rsidRDefault="00E524F4" w:rsidP="00E524F4">
      <w:pPr>
        <w:pBdr>
          <w:top w:val="single" w:sz="12" w:space="1" w:color="002060"/>
          <w:left w:val="single" w:sz="12" w:space="4" w:color="002060"/>
          <w:bottom w:val="single" w:sz="12" w:space="1" w:color="002060"/>
          <w:right w:val="single" w:sz="12" w:space="4" w:color="002060"/>
        </w:pBdr>
        <w:spacing w:before="240" w:after="240"/>
        <w:jc w:val="center"/>
        <w:rPr>
          <w:rFonts w:ascii="Arial" w:hAnsi="Arial" w:cs="Arial"/>
          <w:b/>
          <w:color w:val="1F497D"/>
          <w:sz w:val="36"/>
          <w:szCs w:val="28"/>
        </w:rPr>
      </w:pPr>
      <w:r w:rsidRPr="00434099">
        <w:rPr>
          <w:rFonts w:ascii="Arial" w:hAnsi="Arial" w:cs="Arial"/>
          <w:b/>
          <w:color w:val="1F497D"/>
          <w:sz w:val="36"/>
          <w:szCs w:val="28"/>
        </w:rPr>
        <w:t>Guide méthodologique</w:t>
      </w:r>
    </w:p>
    <w:p w14:paraId="0F5E8966" w14:textId="77777777" w:rsidR="00E524F4" w:rsidRPr="00120EC2" w:rsidRDefault="00E524F4" w:rsidP="00E524F4">
      <w:pPr>
        <w:rPr>
          <w:color w:val="000000"/>
          <w:szCs w:val="22"/>
        </w:rPr>
      </w:pPr>
    </w:p>
    <w:p w14:paraId="38C9B59E" w14:textId="77777777" w:rsidR="00CB26FA" w:rsidRPr="00D31B41" w:rsidRDefault="00CB26FA" w:rsidP="00CA7755">
      <w:pPr>
        <w:pStyle w:val="Default"/>
        <w:jc w:val="both"/>
        <w:rPr>
          <w:rFonts w:ascii="Arial" w:hAnsi="Arial" w:cs="Arial"/>
          <w:sz w:val="22"/>
          <w:szCs w:val="22"/>
        </w:rPr>
      </w:pPr>
      <w:r w:rsidRPr="00D31B41">
        <w:rPr>
          <w:rFonts w:ascii="Arial" w:hAnsi="Arial" w:cs="Arial"/>
          <w:sz w:val="22"/>
          <w:szCs w:val="22"/>
        </w:rPr>
        <w:t xml:space="preserve">Le présent questionnaire relatif au dispositif de prévention du blanchiment des capitaux et du financement des activités terroristes (« Tableaux BLANCHIMT ») </w:t>
      </w:r>
      <w:r w:rsidR="007864F4">
        <w:rPr>
          <w:rFonts w:ascii="Arial" w:hAnsi="Arial" w:cs="Arial"/>
          <w:sz w:val="22"/>
          <w:szCs w:val="22"/>
        </w:rPr>
        <w:t xml:space="preserve">applicable aux prestataires sur actifs numériques (PSAN) </w:t>
      </w:r>
      <w:r w:rsidRPr="00D31B41">
        <w:rPr>
          <w:rFonts w:ascii="Arial" w:hAnsi="Arial" w:cs="Arial"/>
          <w:sz w:val="22"/>
          <w:szCs w:val="22"/>
        </w:rPr>
        <w:t>a pour objet d’apprécier la conformité et l’efficacité des dispositifs de lut</w:t>
      </w:r>
      <w:bookmarkStart w:id="0" w:name="_GoBack"/>
      <w:bookmarkEnd w:id="0"/>
      <w:r w:rsidRPr="00D31B41">
        <w:rPr>
          <w:rFonts w:ascii="Arial" w:hAnsi="Arial" w:cs="Arial"/>
          <w:sz w:val="22"/>
          <w:szCs w:val="22"/>
        </w:rPr>
        <w:t xml:space="preserve">te contre le blanchiment des capitaux et le financement du terrorisme (LCB-FT) et de gel des avoirs mis en place par chaque organisme financier remettant. </w:t>
      </w:r>
    </w:p>
    <w:p w14:paraId="2D4944A4" w14:textId="77777777" w:rsidR="00CB26FA" w:rsidRPr="00D31B41" w:rsidRDefault="00CB26FA" w:rsidP="00CA7755">
      <w:pPr>
        <w:pStyle w:val="Default"/>
        <w:jc w:val="both"/>
        <w:rPr>
          <w:rFonts w:ascii="Arial" w:hAnsi="Arial" w:cs="Arial"/>
          <w:sz w:val="22"/>
          <w:szCs w:val="22"/>
        </w:rPr>
      </w:pPr>
    </w:p>
    <w:p w14:paraId="6EDB2409" w14:textId="77777777" w:rsidR="0037728C" w:rsidRPr="00D31B41" w:rsidRDefault="00CB26FA" w:rsidP="00CA7755">
      <w:pPr>
        <w:pStyle w:val="Default"/>
        <w:jc w:val="both"/>
        <w:rPr>
          <w:rFonts w:ascii="Arial" w:hAnsi="Arial" w:cs="Arial"/>
          <w:sz w:val="22"/>
          <w:szCs w:val="22"/>
        </w:rPr>
      </w:pPr>
      <w:r w:rsidRPr="00D31B41">
        <w:rPr>
          <w:rFonts w:ascii="Arial" w:hAnsi="Arial" w:cs="Arial"/>
          <w:sz w:val="22"/>
          <w:szCs w:val="22"/>
        </w:rPr>
        <w:t>Il constitue un élément important du contrôle permanent exercé par l’Autorité de contrôle prudentiel et de résolution (ACPR) sur les organismes financiers en matière de LCB-FT. En effet, les services de contrôle permanent de l’ACPR s’appuient sur les réponses apportées pour évaluer le risque BC-FT des organismes remettants ; le contrôle sur place vérifie notamment l’exactitude des réponses données. Les réponses aux questions doivent être sincères, objectives et correspondre au dispositif, procédures et contrôles mis en place en matière de LCB-FT et de gel des avoirs au sein de l’organisme.</w:t>
      </w:r>
    </w:p>
    <w:p w14:paraId="68027304" w14:textId="77777777" w:rsidR="00CB26FA" w:rsidRPr="00D31B41" w:rsidRDefault="00CB26FA" w:rsidP="00CA7755">
      <w:pPr>
        <w:pStyle w:val="Default"/>
        <w:jc w:val="both"/>
        <w:rPr>
          <w:rFonts w:ascii="Arial" w:hAnsi="Arial" w:cs="Arial"/>
          <w:sz w:val="22"/>
          <w:szCs w:val="22"/>
        </w:rPr>
      </w:pPr>
    </w:p>
    <w:p w14:paraId="41034322" w14:textId="77777777" w:rsidR="002C7FD7" w:rsidRDefault="002C7FD7" w:rsidP="00CA7755">
      <w:pPr>
        <w:rPr>
          <w:rFonts w:ascii="Arial" w:hAnsi="Arial" w:cs="Arial"/>
          <w:szCs w:val="22"/>
        </w:rPr>
      </w:pPr>
      <w:r w:rsidRPr="00D31B41">
        <w:rPr>
          <w:rFonts w:ascii="Arial" w:hAnsi="Arial" w:cs="Arial"/>
          <w:szCs w:val="22"/>
        </w:rPr>
        <w:t xml:space="preserve">Ce questionnaire doit être rempli par les prestataires de services d’actifs numériques, qui sont établis en France et soumis à la présente instruction, en fonction de leur situation appréciée, en principe, sur base individuelle. </w:t>
      </w:r>
    </w:p>
    <w:p w14:paraId="353351A9" w14:textId="77777777" w:rsidR="002C7FD7" w:rsidRPr="00D31B41" w:rsidRDefault="002C7FD7" w:rsidP="002C7FD7">
      <w:pPr>
        <w:rPr>
          <w:rFonts w:ascii="Arial" w:hAnsi="Arial" w:cs="Arial"/>
          <w:szCs w:val="22"/>
        </w:rPr>
      </w:pPr>
    </w:p>
    <w:p w14:paraId="0CD07FDD" w14:textId="77777777" w:rsidR="00E524F4" w:rsidRPr="00D31B41" w:rsidRDefault="00EC04CD" w:rsidP="00336493">
      <w:pPr>
        <w:pStyle w:val="Default"/>
        <w:jc w:val="both"/>
        <w:rPr>
          <w:rFonts w:ascii="Arial" w:hAnsi="Arial" w:cs="Arial"/>
          <w:sz w:val="22"/>
          <w:szCs w:val="22"/>
        </w:rPr>
      </w:pPr>
      <w:r w:rsidRPr="00D31B41">
        <w:rPr>
          <w:rFonts w:ascii="Arial" w:hAnsi="Arial" w:cs="Arial"/>
          <w:sz w:val="22"/>
          <w:szCs w:val="22"/>
        </w:rPr>
        <w:t>Il se compose de</w:t>
      </w:r>
      <w:r w:rsidR="009844F8" w:rsidRPr="00D31B41">
        <w:rPr>
          <w:rFonts w:ascii="Arial" w:hAnsi="Arial" w:cs="Arial"/>
          <w:sz w:val="22"/>
          <w:szCs w:val="22"/>
        </w:rPr>
        <w:t>s</w:t>
      </w:r>
      <w:r w:rsidRPr="00D31B41">
        <w:rPr>
          <w:rFonts w:ascii="Arial" w:hAnsi="Arial" w:cs="Arial"/>
          <w:sz w:val="22"/>
          <w:szCs w:val="22"/>
        </w:rPr>
        <w:t xml:space="preserve"> </w:t>
      </w:r>
      <w:r w:rsidR="002C7FD7">
        <w:rPr>
          <w:rFonts w:ascii="Arial" w:hAnsi="Arial" w:cs="Arial"/>
          <w:sz w:val="22"/>
          <w:szCs w:val="22"/>
        </w:rPr>
        <w:t>8</w:t>
      </w:r>
      <w:r w:rsidR="00CE32E4" w:rsidRPr="00D31B41">
        <w:rPr>
          <w:rFonts w:ascii="Arial" w:hAnsi="Arial" w:cs="Arial"/>
          <w:sz w:val="22"/>
          <w:szCs w:val="22"/>
        </w:rPr>
        <w:t xml:space="preserve"> </w:t>
      </w:r>
      <w:r w:rsidR="00E11489" w:rsidRPr="00D31B41">
        <w:rPr>
          <w:rFonts w:ascii="Arial" w:hAnsi="Arial" w:cs="Arial"/>
          <w:sz w:val="22"/>
          <w:szCs w:val="22"/>
        </w:rPr>
        <w:t>tableaux</w:t>
      </w:r>
      <w:r w:rsidR="009844F8" w:rsidRPr="00D31B41">
        <w:rPr>
          <w:rFonts w:ascii="Arial" w:hAnsi="Arial" w:cs="Arial"/>
          <w:sz w:val="22"/>
          <w:szCs w:val="22"/>
        </w:rPr>
        <w:t xml:space="preserve"> suivants</w:t>
      </w:r>
      <w:r w:rsidR="00336493" w:rsidRPr="00D31B41">
        <w:rPr>
          <w:rFonts w:ascii="Arial" w:hAnsi="Arial" w:cs="Arial"/>
          <w:sz w:val="22"/>
          <w:szCs w:val="22"/>
        </w:rPr>
        <w:t> </w:t>
      </w:r>
      <w:r w:rsidR="00E11489" w:rsidRPr="00D31B41">
        <w:rPr>
          <w:rFonts w:ascii="Arial" w:hAnsi="Arial" w:cs="Arial"/>
          <w:sz w:val="22"/>
          <w:szCs w:val="22"/>
        </w:rPr>
        <w:t>:</w:t>
      </w:r>
    </w:p>
    <w:p w14:paraId="35C5EEFE" w14:textId="4091E60D" w:rsidR="00336493" w:rsidRPr="00D31B41" w:rsidRDefault="00E524F4" w:rsidP="00DD44EC">
      <w:pPr>
        <w:pStyle w:val="Default"/>
        <w:numPr>
          <w:ilvl w:val="0"/>
          <w:numId w:val="4"/>
        </w:numPr>
        <w:spacing w:before="120"/>
        <w:jc w:val="both"/>
        <w:rPr>
          <w:rFonts w:ascii="Arial" w:hAnsi="Arial" w:cs="Arial"/>
          <w:sz w:val="22"/>
          <w:szCs w:val="22"/>
        </w:rPr>
      </w:pPr>
      <w:r w:rsidRPr="00D31B41">
        <w:rPr>
          <w:rFonts w:ascii="Arial" w:hAnsi="Arial" w:cs="Arial"/>
          <w:sz w:val="22"/>
          <w:szCs w:val="22"/>
        </w:rPr>
        <w:t xml:space="preserve">B1 – </w:t>
      </w:r>
      <w:r w:rsidR="00DD44EC" w:rsidRPr="00D31B41">
        <w:rPr>
          <w:rFonts w:ascii="Arial" w:hAnsi="Arial" w:cs="Arial"/>
          <w:sz w:val="22"/>
          <w:szCs w:val="22"/>
        </w:rPr>
        <w:t>Évaluation des risques par l</w:t>
      </w:r>
      <w:r w:rsidR="002A5FB8" w:rsidRPr="00D31B41">
        <w:rPr>
          <w:rFonts w:ascii="Arial" w:hAnsi="Arial" w:cs="Arial"/>
          <w:sz w:val="22"/>
          <w:szCs w:val="22"/>
        </w:rPr>
        <w:t>’organisme</w:t>
      </w:r>
      <w:r w:rsidR="00CA7755">
        <w:rPr>
          <w:rFonts w:ascii="Arial" w:hAnsi="Arial" w:cs="Arial"/>
          <w:sz w:val="22"/>
          <w:szCs w:val="22"/>
        </w:rPr>
        <w:t> ;</w:t>
      </w:r>
    </w:p>
    <w:p w14:paraId="056E5879" w14:textId="54A49D2D" w:rsidR="00DD44EC" w:rsidRPr="00D31B41" w:rsidRDefault="00E524F4" w:rsidP="00DD44EC">
      <w:pPr>
        <w:pStyle w:val="Default"/>
        <w:numPr>
          <w:ilvl w:val="0"/>
          <w:numId w:val="4"/>
        </w:numPr>
        <w:spacing w:before="120"/>
        <w:jc w:val="both"/>
        <w:rPr>
          <w:rFonts w:ascii="Arial" w:hAnsi="Arial" w:cs="Arial"/>
          <w:sz w:val="22"/>
          <w:szCs w:val="22"/>
        </w:rPr>
      </w:pPr>
      <w:r w:rsidRPr="00D31B41">
        <w:rPr>
          <w:rFonts w:ascii="Arial" w:hAnsi="Arial" w:cs="Arial"/>
          <w:sz w:val="22"/>
          <w:szCs w:val="22"/>
        </w:rPr>
        <w:t>B2 – Organisation du dispositif de lutte contre le blanchiment de capitaux et le financement du terrorisme (LCB-FT)</w:t>
      </w:r>
      <w:r w:rsidR="00CA7755">
        <w:rPr>
          <w:rFonts w:ascii="Arial" w:hAnsi="Arial" w:cs="Arial"/>
          <w:sz w:val="22"/>
          <w:szCs w:val="22"/>
        </w:rPr>
        <w:t> :</w:t>
      </w:r>
    </w:p>
    <w:p w14:paraId="7544D765" w14:textId="3B74BCB1" w:rsidR="00734C3F" w:rsidRPr="00D31B41" w:rsidRDefault="00734C3F" w:rsidP="00734C3F">
      <w:pPr>
        <w:pStyle w:val="Default"/>
        <w:numPr>
          <w:ilvl w:val="1"/>
          <w:numId w:val="4"/>
        </w:numPr>
        <w:spacing w:before="120"/>
        <w:jc w:val="both"/>
        <w:rPr>
          <w:rFonts w:ascii="Arial" w:hAnsi="Arial" w:cs="Arial"/>
          <w:sz w:val="22"/>
          <w:szCs w:val="22"/>
        </w:rPr>
      </w:pPr>
      <w:r w:rsidRPr="00D31B41">
        <w:rPr>
          <w:rFonts w:ascii="Arial" w:hAnsi="Arial" w:cs="Arial"/>
          <w:sz w:val="22"/>
          <w:szCs w:val="22"/>
        </w:rPr>
        <w:t>B2-1 Responsable du dispositif LCB-FT, correspondant/ déclarant Tracfin</w:t>
      </w:r>
      <w:r w:rsidR="00CA7755">
        <w:rPr>
          <w:rFonts w:ascii="Arial" w:hAnsi="Arial" w:cs="Arial"/>
          <w:sz w:val="22"/>
          <w:szCs w:val="22"/>
        </w:rPr>
        <w:t> ;</w:t>
      </w:r>
    </w:p>
    <w:p w14:paraId="6D083BCB" w14:textId="3361DD69" w:rsidR="00734C3F" w:rsidRPr="00D31B41" w:rsidRDefault="00734C3F" w:rsidP="00734C3F">
      <w:pPr>
        <w:pStyle w:val="Default"/>
        <w:numPr>
          <w:ilvl w:val="1"/>
          <w:numId w:val="4"/>
        </w:numPr>
        <w:spacing w:before="120"/>
        <w:jc w:val="both"/>
        <w:rPr>
          <w:rFonts w:ascii="Arial" w:hAnsi="Arial" w:cs="Arial"/>
          <w:sz w:val="22"/>
          <w:szCs w:val="22"/>
        </w:rPr>
      </w:pPr>
      <w:r w:rsidRPr="00D31B41">
        <w:rPr>
          <w:rFonts w:ascii="Arial" w:hAnsi="Arial" w:cs="Arial"/>
          <w:sz w:val="22"/>
          <w:szCs w:val="22"/>
        </w:rPr>
        <w:t>B2-2 information et formation, procédures relatives à la LCB-FT</w:t>
      </w:r>
      <w:r w:rsidR="00CA7755">
        <w:rPr>
          <w:rFonts w:ascii="Arial" w:hAnsi="Arial" w:cs="Arial"/>
          <w:sz w:val="22"/>
          <w:szCs w:val="22"/>
        </w:rPr>
        <w:t> ;</w:t>
      </w:r>
    </w:p>
    <w:p w14:paraId="6FEACF8F" w14:textId="77777777" w:rsidR="00E524F4" w:rsidRPr="00D31B41" w:rsidRDefault="00E524F4" w:rsidP="00E66F51">
      <w:pPr>
        <w:pStyle w:val="Default"/>
        <w:numPr>
          <w:ilvl w:val="0"/>
          <w:numId w:val="4"/>
        </w:numPr>
        <w:spacing w:before="120"/>
        <w:jc w:val="both"/>
        <w:rPr>
          <w:rFonts w:ascii="Arial" w:hAnsi="Arial" w:cs="Arial"/>
          <w:sz w:val="22"/>
          <w:szCs w:val="22"/>
        </w:rPr>
      </w:pPr>
      <w:r w:rsidRPr="00D31B41">
        <w:rPr>
          <w:rFonts w:ascii="Arial" w:hAnsi="Arial" w:cs="Arial"/>
          <w:sz w:val="22"/>
          <w:szCs w:val="22"/>
        </w:rPr>
        <w:t>B3 – Contrôle interne</w:t>
      </w:r>
      <w:r w:rsidR="00DD44EC" w:rsidRPr="00D31B41">
        <w:rPr>
          <w:rFonts w:ascii="Arial" w:hAnsi="Arial" w:cs="Arial"/>
          <w:sz w:val="22"/>
          <w:szCs w:val="22"/>
        </w:rPr>
        <w:t xml:space="preserve"> du dispositif LCB-FT</w:t>
      </w:r>
      <w:r w:rsidRPr="00D31B41">
        <w:rPr>
          <w:rFonts w:ascii="Arial" w:hAnsi="Arial" w:cs="Arial"/>
          <w:sz w:val="22"/>
          <w:szCs w:val="22"/>
        </w:rPr>
        <w:t> </w:t>
      </w:r>
      <w:r w:rsidR="00784DF5" w:rsidRPr="00D31B41">
        <w:rPr>
          <w:rFonts w:ascii="Arial" w:hAnsi="Arial" w:cs="Arial"/>
          <w:sz w:val="22"/>
          <w:szCs w:val="22"/>
        </w:rPr>
        <w:t xml:space="preserve">et </w:t>
      </w:r>
      <w:r w:rsidR="00E66F51" w:rsidRPr="00D31B41">
        <w:rPr>
          <w:rFonts w:ascii="Arial" w:hAnsi="Arial" w:cs="Arial"/>
          <w:sz w:val="22"/>
          <w:szCs w:val="22"/>
        </w:rPr>
        <w:t>du dispositif d’identification des clients, des comptes et des personnes dans le cadre de la lutte contre l’évasion et la fraude fiscales</w:t>
      </w:r>
      <w:r w:rsidR="00784DF5" w:rsidRPr="00D31B41">
        <w:rPr>
          <w:rFonts w:ascii="Arial" w:hAnsi="Arial" w:cs="Arial"/>
          <w:sz w:val="22"/>
          <w:szCs w:val="22"/>
        </w:rPr>
        <w:t xml:space="preserve"> </w:t>
      </w:r>
      <w:r w:rsidRPr="00D31B41">
        <w:rPr>
          <w:rFonts w:ascii="Arial" w:hAnsi="Arial" w:cs="Arial"/>
          <w:sz w:val="22"/>
          <w:szCs w:val="22"/>
        </w:rPr>
        <w:t>;</w:t>
      </w:r>
    </w:p>
    <w:p w14:paraId="1E2981AF" w14:textId="00FAB71B" w:rsidR="00E524F4" w:rsidRPr="00D31B41" w:rsidRDefault="00E524F4" w:rsidP="00E524F4">
      <w:pPr>
        <w:pStyle w:val="Default"/>
        <w:numPr>
          <w:ilvl w:val="0"/>
          <w:numId w:val="4"/>
        </w:numPr>
        <w:spacing w:before="120"/>
        <w:jc w:val="both"/>
        <w:rPr>
          <w:rFonts w:ascii="Arial" w:hAnsi="Arial" w:cs="Arial"/>
          <w:sz w:val="22"/>
          <w:szCs w:val="22"/>
        </w:rPr>
      </w:pPr>
      <w:r w:rsidRPr="00D31B41">
        <w:rPr>
          <w:rFonts w:ascii="Arial" w:hAnsi="Arial" w:cs="Arial"/>
          <w:sz w:val="22"/>
          <w:szCs w:val="22"/>
        </w:rPr>
        <w:t xml:space="preserve">B4 – </w:t>
      </w:r>
      <w:r w:rsidR="00DD44EC" w:rsidRPr="00D31B41">
        <w:rPr>
          <w:rFonts w:ascii="Arial" w:hAnsi="Arial" w:cs="Arial"/>
          <w:sz w:val="22"/>
          <w:szCs w:val="22"/>
        </w:rPr>
        <w:t>Approche groupe</w:t>
      </w:r>
      <w:r w:rsidR="00CB26FA" w:rsidRPr="00D31B41">
        <w:rPr>
          <w:rFonts w:ascii="Arial" w:hAnsi="Arial" w:cs="Arial"/>
          <w:sz w:val="22"/>
          <w:szCs w:val="22"/>
        </w:rPr>
        <w:t xml:space="preserve"> et activités à l’étranger</w:t>
      </w:r>
      <w:r w:rsidR="00CA7755">
        <w:rPr>
          <w:rFonts w:ascii="Arial" w:hAnsi="Arial" w:cs="Arial"/>
          <w:sz w:val="22"/>
          <w:szCs w:val="22"/>
        </w:rPr>
        <w:t> ;</w:t>
      </w:r>
    </w:p>
    <w:p w14:paraId="3960DD3B" w14:textId="77777777" w:rsidR="00E524F4" w:rsidRPr="00D31B41" w:rsidRDefault="00E524F4" w:rsidP="00E524F4">
      <w:pPr>
        <w:pStyle w:val="Default"/>
        <w:numPr>
          <w:ilvl w:val="0"/>
          <w:numId w:val="4"/>
        </w:numPr>
        <w:spacing w:before="120"/>
        <w:jc w:val="both"/>
        <w:rPr>
          <w:rFonts w:ascii="Arial" w:hAnsi="Arial" w:cs="Arial"/>
          <w:sz w:val="22"/>
          <w:szCs w:val="22"/>
        </w:rPr>
      </w:pPr>
      <w:r w:rsidRPr="00D31B41">
        <w:rPr>
          <w:rFonts w:ascii="Arial" w:hAnsi="Arial" w:cs="Arial"/>
          <w:sz w:val="22"/>
          <w:szCs w:val="22"/>
        </w:rPr>
        <w:t xml:space="preserve">B5 – </w:t>
      </w:r>
      <w:r w:rsidR="00DD44EC" w:rsidRPr="00D31B41">
        <w:rPr>
          <w:rFonts w:ascii="Arial" w:hAnsi="Arial" w:cs="Arial"/>
          <w:sz w:val="22"/>
          <w:szCs w:val="22"/>
        </w:rPr>
        <w:t>Mesures de vigilance adaptées aux risques BC-FT et détection des opérations suspectes</w:t>
      </w:r>
      <w:r w:rsidRPr="00D31B41">
        <w:rPr>
          <w:rFonts w:ascii="Arial" w:hAnsi="Arial" w:cs="Arial"/>
          <w:sz w:val="22"/>
          <w:szCs w:val="22"/>
        </w:rPr>
        <w:t> ;</w:t>
      </w:r>
    </w:p>
    <w:p w14:paraId="54140549" w14:textId="77777777" w:rsidR="00E524F4" w:rsidRPr="00D31B41" w:rsidRDefault="00E524F4" w:rsidP="00E524F4">
      <w:pPr>
        <w:pStyle w:val="Default"/>
        <w:numPr>
          <w:ilvl w:val="0"/>
          <w:numId w:val="4"/>
        </w:numPr>
        <w:spacing w:before="120"/>
        <w:jc w:val="both"/>
        <w:rPr>
          <w:rFonts w:ascii="Arial" w:hAnsi="Arial" w:cs="Arial"/>
          <w:sz w:val="22"/>
          <w:szCs w:val="22"/>
        </w:rPr>
      </w:pPr>
      <w:r w:rsidRPr="00D31B41">
        <w:rPr>
          <w:rFonts w:ascii="Arial" w:hAnsi="Arial" w:cs="Arial"/>
          <w:sz w:val="22"/>
          <w:szCs w:val="22"/>
        </w:rPr>
        <w:t xml:space="preserve">B6 – </w:t>
      </w:r>
      <w:r w:rsidR="00DD44EC" w:rsidRPr="00D31B41">
        <w:rPr>
          <w:rFonts w:ascii="Arial" w:hAnsi="Arial" w:cs="Arial"/>
          <w:sz w:val="22"/>
          <w:szCs w:val="22"/>
        </w:rPr>
        <w:t xml:space="preserve"> G</w:t>
      </w:r>
      <w:r w:rsidRPr="00D31B41">
        <w:rPr>
          <w:rFonts w:ascii="Arial" w:hAnsi="Arial" w:cs="Arial"/>
          <w:sz w:val="22"/>
          <w:szCs w:val="22"/>
        </w:rPr>
        <w:t>el des avoirs</w:t>
      </w:r>
      <w:r w:rsidR="00DD44EC" w:rsidRPr="00D31B41">
        <w:rPr>
          <w:rFonts w:ascii="Arial" w:hAnsi="Arial" w:cs="Arial"/>
          <w:sz w:val="22"/>
          <w:szCs w:val="22"/>
        </w:rPr>
        <w:t xml:space="preserve"> et mesures restrictives</w:t>
      </w:r>
      <w:r w:rsidRPr="00D31B41">
        <w:rPr>
          <w:rFonts w:ascii="Arial" w:hAnsi="Arial" w:cs="Arial"/>
          <w:sz w:val="22"/>
          <w:szCs w:val="22"/>
        </w:rPr>
        <w:t> ;</w:t>
      </w:r>
    </w:p>
    <w:p w14:paraId="1F1BAE18" w14:textId="1443A221" w:rsidR="00432E57" w:rsidRPr="00D31B41" w:rsidRDefault="00E524F4" w:rsidP="00432E57">
      <w:pPr>
        <w:pStyle w:val="Default"/>
        <w:numPr>
          <w:ilvl w:val="0"/>
          <w:numId w:val="4"/>
        </w:numPr>
        <w:spacing w:before="120"/>
        <w:jc w:val="both"/>
        <w:rPr>
          <w:rFonts w:ascii="Arial" w:hAnsi="Arial" w:cs="Arial"/>
          <w:sz w:val="22"/>
          <w:szCs w:val="22"/>
        </w:rPr>
      </w:pPr>
      <w:r w:rsidRPr="00D31B41">
        <w:rPr>
          <w:rFonts w:ascii="Arial" w:hAnsi="Arial" w:cs="Arial"/>
          <w:sz w:val="22"/>
          <w:szCs w:val="22"/>
        </w:rPr>
        <w:t xml:space="preserve">B7 – </w:t>
      </w:r>
      <w:r w:rsidR="00CB26FA" w:rsidRPr="00D31B41">
        <w:rPr>
          <w:rFonts w:ascii="Arial" w:hAnsi="Arial" w:cs="Arial"/>
          <w:sz w:val="22"/>
          <w:szCs w:val="22"/>
        </w:rPr>
        <w:t>Activités sur actifs numériques</w:t>
      </w:r>
      <w:r w:rsidR="00CA7755">
        <w:rPr>
          <w:rFonts w:ascii="Arial" w:hAnsi="Arial" w:cs="Arial"/>
          <w:sz w:val="22"/>
          <w:szCs w:val="22"/>
        </w:rPr>
        <w:t> ;</w:t>
      </w:r>
    </w:p>
    <w:p w14:paraId="03F289C4" w14:textId="4E161451" w:rsidR="00903B53" w:rsidRPr="00D31B41" w:rsidRDefault="00E524F4" w:rsidP="00E524F4">
      <w:pPr>
        <w:pStyle w:val="Default"/>
        <w:numPr>
          <w:ilvl w:val="0"/>
          <w:numId w:val="4"/>
        </w:numPr>
        <w:spacing w:before="120"/>
        <w:jc w:val="both"/>
        <w:rPr>
          <w:rFonts w:ascii="Arial" w:hAnsi="Arial" w:cs="Arial"/>
          <w:sz w:val="22"/>
          <w:szCs w:val="22"/>
        </w:rPr>
      </w:pPr>
      <w:r w:rsidRPr="00D31B41">
        <w:rPr>
          <w:rFonts w:ascii="Arial" w:hAnsi="Arial" w:cs="Arial"/>
          <w:sz w:val="22"/>
          <w:szCs w:val="22"/>
        </w:rPr>
        <w:t>B8 – Données</w:t>
      </w:r>
      <w:r w:rsidR="005B1F2D" w:rsidRPr="00D31B41">
        <w:rPr>
          <w:rFonts w:ascii="Arial" w:hAnsi="Arial" w:cs="Arial"/>
          <w:sz w:val="22"/>
          <w:szCs w:val="22"/>
        </w:rPr>
        <w:t xml:space="preserve"> </w:t>
      </w:r>
      <w:r w:rsidR="00CA7755">
        <w:rPr>
          <w:rFonts w:ascii="Arial" w:hAnsi="Arial" w:cs="Arial"/>
          <w:sz w:val="22"/>
          <w:szCs w:val="22"/>
        </w:rPr>
        <w:t>statistiques.</w:t>
      </w:r>
    </w:p>
    <w:p w14:paraId="0A9BDCC7" w14:textId="77777777" w:rsidR="007730CD" w:rsidRPr="00D31B41" w:rsidRDefault="007730CD" w:rsidP="007730CD">
      <w:pPr>
        <w:pStyle w:val="Default"/>
        <w:jc w:val="both"/>
        <w:rPr>
          <w:rFonts w:ascii="Arial" w:hAnsi="Arial" w:cs="Arial"/>
          <w:sz w:val="22"/>
          <w:szCs w:val="22"/>
        </w:rPr>
      </w:pPr>
    </w:p>
    <w:p w14:paraId="18717717" w14:textId="77777777" w:rsidR="007730CD" w:rsidRPr="00D31B41" w:rsidRDefault="007730CD" w:rsidP="00FF75B0">
      <w:pPr>
        <w:pStyle w:val="Default"/>
        <w:jc w:val="both"/>
        <w:rPr>
          <w:rFonts w:ascii="Arial" w:hAnsi="Arial" w:cs="Arial"/>
          <w:sz w:val="22"/>
          <w:szCs w:val="22"/>
        </w:rPr>
      </w:pPr>
      <w:r w:rsidRPr="00D31B41">
        <w:rPr>
          <w:rFonts w:ascii="Arial" w:hAnsi="Arial" w:cs="Arial"/>
          <w:sz w:val="22"/>
          <w:szCs w:val="22"/>
        </w:rPr>
        <w:t xml:space="preserve">Le présent guide a pour objet d’aider les organismes assujettis à répondre aux questions. </w:t>
      </w:r>
    </w:p>
    <w:p w14:paraId="53F27B0E" w14:textId="77777777" w:rsidR="00E524F4" w:rsidRPr="00D31B41" w:rsidRDefault="00E524F4" w:rsidP="00E524F4">
      <w:pPr>
        <w:pStyle w:val="Default"/>
        <w:rPr>
          <w:rFonts w:ascii="Arial" w:hAnsi="Arial" w:cs="Arial"/>
          <w:sz w:val="22"/>
          <w:szCs w:val="22"/>
        </w:rPr>
      </w:pPr>
    </w:p>
    <w:p w14:paraId="1867AFCA" w14:textId="77777777" w:rsidR="00A7655A" w:rsidRPr="00D31B41" w:rsidRDefault="00A7655A" w:rsidP="00E524F4">
      <w:pPr>
        <w:pStyle w:val="Default"/>
        <w:rPr>
          <w:rFonts w:ascii="Arial" w:hAnsi="Arial" w:cs="Arial"/>
          <w:sz w:val="22"/>
          <w:szCs w:val="22"/>
        </w:rPr>
      </w:pPr>
    </w:p>
    <w:p w14:paraId="5CCF9AD8" w14:textId="77777777" w:rsidR="00E524F4" w:rsidRPr="00D31B41" w:rsidRDefault="00CB6965" w:rsidP="00E524F4">
      <w:pPr>
        <w:pStyle w:val="Paragraphedeliste"/>
        <w:numPr>
          <w:ilvl w:val="0"/>
          <w:numId w:val="3"/>
        </w:numPr>
        <w:suppressAutoHyphens w:val="0"/>
        <w:contextualSpacing/>
        <w:rPr>
          <w:rFonts w:ascii="Arial" w:hAnsi="Arial" w:cs="Arial"/>
          <w:b/>
          <w:color w:val="000000"/>
          <w:szCs w:val="22"/>
          <w:u w:val="single"/>
        </w:rPr>
      </w:pPr>
      <w:r w:rsidRPr="00D31B41" w:rsidDel="00CB6965">
        <w:rPr>
          <w:rFonts w:ascii="Arial" w:hAnsi="Arial" w:cs="Arial"/>
          <w:szCs w:val="22"/>
        </w:rPr>
        <w:t xml:space="preserve"> </w:t>
      </w:r>
      <w:r w:rsidR="00E524F4" w:rsidRPr="00D31B41">
        <w:rPr>
          <w:rFonts w:ascii="Arial" w:hAnsi="Arial" w:cs="Arial"/>
          <w:b/>
          <w:color w:val="000000"/>
          <w:szCs w:val="22"/>
          <w:u w:val="single"/>
        </w:rPr>
        <w:t>Renseignements collectés</w:t>
      </w:r>
    </w:p>
    <w:p w14:paraId="23742EBB" w14:textId="77777777" w:rsidR="00E524F4" w:rsidRPr="00D31B41" w:rsidRDefault="00E524F4" w:rsidP="00E524F4">
      <w:pPr>
        <w:rPr>
          <w:rFonts w:ascii="Arial" w:hAnsi="Arial" w:cs="Arial"/>
          <w:szCs w:val="22"/>
        </w:rPr>
      </w:pPr>
    </w:p>
    <w:p w14:paraId="75717F73" w14:textId="77777777" w:rsidR="00E524F4" w:rsidRPr="00D31B41" w:rsidRDefault="00E524F4" w:rsidP="00E524F4">
      <w:pPr>
        <w:pStyle w:val="Default"/>
        <w:jc w:val="both"/>
        <w:rPr>
          <w:rFonts w:ascii="Arial" w:hAnsi="Arial" w:cs="Arial"/>
          <w:color w:val="auto"/>
          <w:sz w:val="22"/>
          <w:szCs w:val="22"/>
        </w:rPr>
      </w:pPr>
      <w:r w:rsidRPr="00D31B41">
        <w:rPr>
          <w:rFonts w:ascii="Arial" w:hAnsi="Arial" w:cs="Arial"/>
          <w:color w:val="auto"/>
          <w:sz w:val="22"/>
          <w:szCs w:val="22"/>
        </w:rPr>
        <w:t>L’organisme peut répondre :</w:t>
      </w:r>
    </w:p>
    <w:p w14:paraId="1E33431C" w14:textId="77777777" w:rsidR="00E524F4" w:rsidRPr="00D31B41" w:rsidRDefault="00E524F4" w:rsidP="00CA7755">
      <w:pPr>
        <w:pStyle w:val="Default"/>
        <w:numPr>
          <w:ilvl w:val="0"/>
          <w:numId w:val="1"/>
        </w:numPr>
        <w:spacing w:before="120"/>
        <w:ind w:left="714" w:hanging="357"/>
        <w:jc w:val="both"/>
        <w:rPr>
          <w:rFonts w:ascii="Arial" w:hAnsi="Arial" w:cs="Arial"/>
          <w:color w:val="auto"/>
          <w:sz w:val="22"/>
          <w:szCs w:val="22"/>
        </w:rPr>
      </w:pPr>
      <w:proofErr w:type="gramStart"/>
      <w:r w:rsidRPr="00D31B41">
        <w:rPr>
          <w:rFonts w:ascii="Arial" w:hAnsi="Arial" w:cs="Arial"/>
          <w:color w:val="auto"/>
          <w:sz w:val="22"/>
          <w:szCs w:val="22"/>
        </w:rPr>
        <w:t>s’agissant</w:t>
      </w:r>
      <w:proofErr w:type="gramEnd"/>
      <w:r w:rsidRPr="00D31B41">
        <w:rPr>
          <w:rFonts w:ascii="Arial" w:hAnsi="Arial" w:cs="Arial"/>
          <w:color w:val="auto"/>
          <w:sz w:val="22"/>
          <w:szCs w:val="22"/>
        </w:rPr>
        <w:t xml:space="preserve"> des questions marquées (a) : OUI ou NON ;</w:t>
      </w:r>
    </w:p>
    <w:p w14:paraId="2FA2450A" w14:textId="18A31817" w:rsidR="002D39D1" w:rsidRPr="00D31B41" w:rsidRDefault="00E524F4" w:rsidP="00CA7755">
      <w:pPr>
        <w:pStyle w:val="Default"/>
        <w:numPr>
          <w:ilvl w:val="0"/>
          <w:numId w:val="1"/>
        </w:numPr>
        <w:spacing w:before="120"/>
        <w:jc w:val="both"/>
        <w:rPr>
          <w:rFonts w:ascii="Arial" w:hAnsi="Arial" w:cs="Arial"/>
          <w:color w:val="auto"/>
          <w:sz w:val="22"/>
          <w:szCs w:val="22"/>
        </w:rPr>
      </w:pPr>
      <w:proofErr w:type="gramStart"/>
      <w:r w:rsidRPr="00D31B41">
        <w:rPr>
          <w:rFonts w:ascii="Arial" w:hAnsi="Arial" w:cs="Arial"/>
          <w:color w:val="auto"/>
          <w:sz w:val="22"/>
          <w:szCs w:val="22"/>
        </w:rPr>
        <w:t>s’agissant</w:t>
      </w:r>
      <w:proofErr w:type="gramEnd"/>
      <w:r w:rsidRPr="00D31B41">
        <w:rPr>
          <w:rFonts w:ascii="Arial" w:hAnsi="Arial" w:cs="Arial"/>
          <w:color w:val="auto"/>
          <w:sz w:val="22"/>
          <w:szCs w:val="22"/>
        </w:rPr>
        <w:t xml:space="preserve"> des questions marquées (b) : OUI ou NON ou </w:t>
      </w:r>
      <w:r w:rsidR="000568ED" w:rsidRPr="00D31B41">
        <w:rPr>
          <w:rFonts w:ascii="Arial" w:hAnsi="Arial" w:cs="Arial"/>
          <w:color w:val="auto"/>
          <w:sz w:val="22"/>
          <w:szCs w:val="22"/>
        </w:rPr>
        <w:t xml:space="preserve">Non </w:t>
      </w:r>
      <w:r w:rsidR="00F11D7B" w:rsidRPr="00D31B41">
        <w:rPr>
          <w:rFonts w:ascii="Arial" w:hAnsi="Arial" w:cs="Arial"/>
          <w:color w:val="auto"/>
          <w:sz w:val="22"/>
          <w:szCs w:val="22"/>
        </w:rPr>
        <w:t>Applicable (N/A)</w:t>
      </w:r>
      <w:r w:rsidR="002D39D1" w:rsidRPr="00D31B41">
        <w:rPr>
          <w:rFonts w:ascii="Arial" w:hAnsi="Arial" w:cs="Arial"/>
          <w:color w:val="auto"/>
          <w:sz w:val="22"/>
          <w:szCs w:val="22"/>
        </w:rPr>
        <w:t xml:space="preserve"> en raison des dispositions législatives ou réglementaires. Dans les autres cas, l’organisme </w:t>
      </w:r>
      <w:r w:rsidR="002D39D1" w:rsidRPr="00D31B41">
        <w:rPr>
          <w:rFonts w:ascii="Arial" w:hAnsi="Arial" w:cs="Arial"/>
          <w:color w:val="auto"/>
          <w:sz w:val="22"/>
          <w:szCs w:val="22"/>
        </w:rPr>
        <w:lastRenderedPageBreak/>
        <w:t>financier précise en commentaire les autres raisons, par exemple : en raison de son activité, ou clientèle (entreprises)</w:t>
      </w:r>
      <w:r w:rsidR="00CA7755">
        <w:rPr>
          <w:rFonts w:ascii="Arial" w:hAnsi="Arial" w:cs="Arial"/>
          <w:color w:val="auto"/>
          <w:sz w:val="22"/>
          <w:szCs w:val="22"/>
        </w:rPr>
        <w:t> ;</w:t>
      </w:r>
    </w:p>
    <w:p w14:paraId="7F3F6F7D" w14:textId="77E7AEBC" w:rsidR="00F11D7B" w:rsidRPr="00D31B41" w:rsidRDefault="00611905" w:rsidP="00CA7755">
      <w:pPr>
        <w:pStyle w:val="Default"/>
        <w:numPr>
          <w:ilvl w:val="0"/>
          <w:numId w:val="1"/>
        </w:numPr>
        <w:spacing w:before="120"/>
        <w:ind w:left="714" w:hanging="357"/>
        <w:jc w:val="both"/>
        <w:rPr>
          <w:rFonts w:ascii="Arial" w:hAnsi="Arial" w:cs="Arial"/>
          <w:color w:val="auto"/>
          <w:sz w:val="22"/>
          <w:szCs w:val="22"/>
        </w:rPr>
      </w:pPr>
      <w:proofErr w:type="gramStart"/>
      <w:r w:rsidRPr="00D31B41">
        <w:rPr>
          <w:rFonts w:ascii="Arial" w:hAnsi="Arial" w:cs="Arial"/>
          <w:color w:val="auto"/>
          <w:sz w:val="22"/>
          <w:szCs w:val="22"/>
        </w:rPr>
        <w:t>s’agissant</w:t>
      </w:r>
      <w:proofErr w:type="gramEnd"/>
      <w:r w:rsidRPr="00D31B41">
        <w:rPr>
          <w:rFonts w:ascii="Arial" w:hAnsi="Arial" w:cs="Arial"/>
          <w:color w:val="auto"/>
          <w:sz w:val="22"/>
          <w:szCs w:val="22"/>
        </w:rPr>
        <w:t xml:space="preserve"> des </w:t>
      </w:r>
      <w:r w:rsidR="00D90A86" w:rsidRPr="00D31B41">
        <w:rPr>
          <w:rFonts w:ascii="Arial" w:hAnsi="Arial" w:cs="Arial"/>
          <w:color w:val="auto"/>
          <w:sz w:val="22"/>
          <w:szCs w:val="22"/>
        </w:rPr>
        <w:t xml:space="preserve">données </w:t>
      </w:r>
      <w:r w:rsidR="000443CC" w:rsidRPr="00D31B41">
        <w:rPr>
          <w:rFonts w:ascii="Arial" w:hAnsi="Arial" w:cs="Arial"/>
          <w:color w:val="auto"/>
          <w:sz w:val="22"/>
          <w:szCs w:val="22"/>
        </w:rPr>
        <w:t>statistiques</w:t>
      </w:r>
      <w:r w:rsidRPr="00D31B41">
        <w:rPr>
          <w:rFonts w:ascii="Arial" w:hAnsi="Arial" w:cs="Arial"/>
          <w:color w:val="auto"/>
          <w:sz w:val="22"/>
          <w:szCs w:val="22"/>
        </w:rPr>
        <w:t xml:space="preserve"> collectées </w:t>
      </w:r>
      <w:r w:rsidR="00D90A86" w:rsidRPr="00D31B41">
        <w:rPr>
          <w:rFonts w:ascii="Arial" w:hAnsi="Arial" w:cs="Arial"/>
          <w:color w:val="auto"/>
          <w:sz w:val="22"/>
          <w:szCs w:val="22"/>
        </w:rPr>
        <w:t xml:space="preserve">dans </w:t>
      </w:r>
      <w:r w:rsidR="00C42DDE" w:rsidRPr="00D31B41">
        <w:rPr>
          <w:rFonts w:ascii="Arial" w:hAnsi="Arial" w:cs="Arial"/>
          <w:color w:val="auto"/>
          <w:sz w:val="22"/>
          <w:szCs w:val="22"/>
        </w:rPr>
        <w:t>le</w:t>
      </w:r>
      <w:r w:rsidR="002C7FD7">
        <w:rPr>
          <w:rFonts w:ascii="Arial" w:hAnsi="Arial" w:cs="Arial"/>
          <w:color w:val="auto"/>
          <w:sz w:val="22"/>
          <w:szCs w:val="22"/>
        </w:rPr>
        <w:t>s</w:t>
      </w:r>
      <w:r w:rsidR="00C42DDE" w:rsidRPr="00D31B41">
        <w:rPr>
          <w:rFonts w:ascii="Arial" w:hAnsi="Arial" w:cs="Arial"/>
          <w:color w:val="auto"/>
          <w:sz w:val="22"/>
          <w:szCs w:val="22"/>
        </w:rPr>
        <w:t xml:space="preserve"> </w:t>
      </w:r>
      <w:r w:rsidRPr="00D31B41">
        <w:rPr>
          <w:rFonts w:ascii="Arial" w:hAnsi="Arial" w:cs="Arial"/>
          <w:color w:val="auto"/>
          <w:sz w:val="22"/>
          <w:szCs w:val="22"/>
        </w:rPr>
        <w:t>tableau</w:t>
      </w:r>
      <w:r w:rsidR="002C7FD7">
        <w:rPr>
          <w:rFonts w:ascii="Arial" w:hAnsi="Arial" w:cs="Arial"/>
          <w:color w:val="auto"/>
          <w:sz w:val="22"/>
          <w:szCs w:val="22"/>
        </w:rPr>
        <w:t>x B7 et</w:t>
      </w:r>
      <w:r w:rsidRPr="00D31B41">
        <w:rPr>
          <w:rFonts w:ascii="Arial" w:hAnsi="Arial" w:cs="Arial"/>
          <w:color w:val="auto"/>
          <w:sz w:val="22"/>
          <w:szCs w:val="22"/>
        </w:rPr>
        <w:t xml:space="preserve"> </w:t>
      </w:r>
      <w:r w:rsidR="00F11D7B" w:rsidRPr="00D31B41">
        <w:rPr>
          <w:rFonts w:ascii="Arial" w:hAnsi="Arial" w:cs="Arial"/>
          <w:color w:val="auto"/>
          <w:sz w:val="22"/>
          <w:szCs w:val="22"/>
        </w:rPr>
        <w:t>B8</w:t>
      </w:r>
      <w:r w:rsidR="00CA7755">
        <w:rPr>
          <w:rFonts w:ascii="Arial" w:hAnsi="Arial" w:cs="Arial"/>
          <w:color w:val="auto"/>
          <w:sz w:val="22"/>
          <w:szCs w:val="22"/>
        </w:rPr>
        <w:t> :</w:t>
      </w:r>
      <w:r w:rsidRPr="00D31B41">
        <w:rPr>
          <w:rFonts w:ascii="Arial" w:hAnsi="Arial" w:cs="Arial"/>
          <w:color w:val="auto"/>
          <w:sz w:val="22"/>
          <w:szCs w:val="22"/>
        </w:rPr>
        <w:t xml:space="preserve"> </w:t>
      </w:r>
      <w:r w:rsidR="00042653" w:rsidRPr="00D31B41">
        <w:rPr>
          <w:rFonts w:ascii="Arial" w:hAnsi="Arial" w:cs="Arial"/>
          <w:color w:val="auto"/>
          <w:sz w:val="22"/>
          <w:szCs w:val="22"/>
        </w:rPr>
        <w:t>les organismes</w:t>
      </w:r>
      <w:r w:rsidR="006509BA" w:rsidRPr="00D31B41">
        <w:rPr>
          <w:rFonts w:ascii="Arial" w:hAnsi="Arial" w:cs="Arial"/>
          <w:color w:val="auto"/>
          <w:sz w:val="22"/>
          <w:szCs w:val="22"/>
        </w:rPr>
        <w:t xml:space="preserve"> </w:t>
      </w:r>
      <w:r w:rsidR="00042653" w:rsidRPr="00D31B41">
        <w:rPr>
          <w:rFonts w:ascii="Arial" w:hAnsi="Arial" w:cs="Arial"/>
          <w:color w:val="auto"/>
          <w:sz w:val="22"/>
          <w:szCs w:val="22"/>
        </w:rPr>
        <w:t>non concernés</w:t>
      </w:r>
      <w:r w:rsidR="000443CC" w:rsidRPr="00D31B41">
        <w:rPr>
          <w:rFonts w:ascii="Arial" w:hAnsi="Arial" w:cs="Arial"/>
          <w:color w:val="auto"/>
          <w:sz w:val="22"/>
          <w:szCs w:val="22"/>
        </w:rPr>
        <w:t xml:space="preserve"> par la donnée demandée</w:t>
      </w:r>
      <w:r w:rsidR="00042653" w:rsidRPr="00D31B41">
        <w:rPr>
          <w:rFonts w:ascii="Arial" w:hAnsi="Arial" w:cs="Arial"/>
          <w:color w:val="auto"/>
          <w:sz w:val="22"/>
          <w:szCs w:val="22"/>
        </w:rPr>
        <w:t xml:space="preserve"> répondent par 0 en précisant</w:t>
      </w:r>
      <w:r w:rsidR="00CA7755">
        <w:rPr>
          <w:rFonts w:ascii="Arial" w:hAnsi="Arial" w:cs="Arial"/>
          <w:color w:val="auto"/>
          <w:sz w:val="22"/>
          <w:szCs w:val="22"/>
        </w:rPr>
        <w:t> :</w:t>
      </w:r>
      <w:r w:rsidR="00042653" w:rsidRPr="00D31B41">
        <w:rPr>
          <w:rFonts w:ascii="Arial" w:hAnsi="Arial" w:cs="Arial"/>
          <w:color w:val="auto"/>
          <w:sz w:val="22"/>
          <w:szCs w:val="22"/>
        </w:rPr>
        <w:t xml:space="preserve"> </w:t>
      </w:r>
      <w:r w:rsidR="00C0037B" w:rsidRPr="00D31B41">
        <w:rPr>
          <w:rFonts w:ascii="Arial" w:hAnsi="Arial" w:cs="Arial"/>
          <w:color w:val="auto"/>
          <w:sz w:val="22"/>
          <w:szCs w:val="22"/>
        </w:rPr>
        <w:t>« </w:t>
      </w:r>
      <w:r w:rsidR="00042653" w:rsidRPr="00D31B41">
        <w:rPr>
          <w:rFonts w:ascii="Arial" w:hAnsi="Arial" w:cs="Arial"/>
          <w:color w:val="auto"/>
          <w:sz w:val="22"/>
          <w:szCs w:val="22"/>
        </w:rPr>
        <w:t>non concerné</w:t>
      </w:r>
      <w:r w:rsidR="00C0037B" w:rsidRPr="00D31B41">
        <w:rPr>
          <w:rFonts w:ascii="Arial" w:hAnsi="Arial" w:cs="Arial"/>
          <w:color w:val="auto"/>
          <w:sz w:val="22"/>
          <w:szCs w:val="22"/>
        </w:rPr>
        <w:t> »</w:t>
      </w:r>
      <w:r w:rsidR="00042653" w:rsidRPr="00D31B41">
        <w:rPr>
          <w:rFonts w:ascii="Arial" w:hAnsi="Arial" w:cs="Arial"/>
          <w:color w:val="auto"/>
          <w:sz w:val="22"/>
          <w:szCs w:val="22"/>
        </w:rPr>
        <w:t xml:space="preserve"> dans la cellule commentaire</w:t>
      </w:r>
      <w:r w:rsidR="00CE32E4" w:rsidRPr="00D31B41">
        <w:rPr>
          <w:rFonts w:ascii="Arial" w:hAnsi="Arial" w:cs="Arial"/>
          <w:color w:val="auto"/>
          <w:sz w:val="22"/>
          <w:szCs w:val="22"/>
        </w:rPr>
        <w:t> ;</w:t>
      </w:r>
    </w:p>
    <w:p w14:paraId="3FA50CF7" w14:textId="11DE2754" w:rsidR="00CE32E4" w:rsidRPr="00D31B41" w:rsidRDefault="00CE32E4" w:rsidP="00CA7755">
      <w:pPr>
        <w:pStyle w:val="Default"/>
        <w:numPr>
          <w:ilvl w:val="0"/>
          <w:numId w:val="1"/>
        </w:numPr>
        <w:spacing w:before="120"/>
        <w:ind w:left="714" w:hanging="357"/>
        <w:jc w:val="both"/>
        <w:rPr>
          <w:rFonts w:ascii="Arial" w:hAnsi="Arial" w:cs="Arial"/>
          <w:color w:val="auto"/>
          <w:sz w:val="22"/>
          <w:szCs w:val="22"/>
        </w:rPr>
      </w:pPr>
      <w:proofErr w:type="gramStart"/>
      <w:r w:rsidRPr="00D31B41">
        <w:rPr>
          <w:rFonts w:ascii="Arial" w:hAnsi="Arial" w:cs="Arial"/>
          <w:color w:val="auto"/>
          <w:sz w:val="22"/>
          <w:szCs w:val="22"/>
        </w:rPr>
        <w:t>s’agissant</w:t>
      </w:r>
      <w:proofErr w:type="gramEnd"/>
      <w:r w:rsidRPr="00D31B41">
        <w:rPr>
          <w:rFonts w:ascii="Arial" w:hAnsi="Arial" w:cs="Arial"/>
          <w:color w:val="auto"/>
          <w:sz w:val="22"/>
          <w:szCs w:val="22"/>
        </w:rPr>
        <w:t xml:space="preserve"> des données numériques </w:t>
      </w:r>
      <w:r w:rsidR="00F631C9" w:rsidRPr="00D31B41">
        <w:rPr>
          <w:rFonts w:ascii="Arial" w:hAnsi="Arial" w:cs="Arial"/>
          <w:color w:val="auto"/>
          <w:sz w:val="22"/>
          <w:szCs w:val="22"/>
        </w:rPr>
        <w:t>les dates sont à compléter</w:t>
      </w:r>
      <w:r w:rsidR="00056545" w:rsidRPr="00D31B41">
        <w:rPr>
          <w:rFonts w:ascii="Arial" w:hAnsi="Arial" w:cs="Arial"/>
          <w:color w:val="auto"/>
          <w:sz w:val="22"/>
          <w:szCs w:val="22"/>
        </w:rPr>
        <w:t xml:space="preserve"> au format</w:t>
      </w:r>
      <w:r w:rsidR="00CA7755">
        <w:rPr>
          <w:rFonts w:ascii="Arial" w:hAnsi="Arial" w:cs="Arial"/>
          <w:color w:val="auto"/>
          <w:sz w:val="22"/>
          <w:szCs w:val="22"/>
        </w:rPr>
        <w:t xml:space="preserve"> </w:t>
      </w:r>
      <w:r w:rsidR="00F631C9" w:rsidRPr="00D31B41">
        <w:rPr>
          <w:rFonts w:ascii="Arial" w:hAnsi="Arial" w:cs="Arial"/>
          <w:color w:val="auto"/>
          <w:sz w:val="22"/>
          <w:szCs w:val="22"/>
        </w:rPr>
        <w:t>suivant :</w:t>
      </w:r>
      <w:r w:rsidR="00056545" w:rsidRPr="00D31B41">
        <w:rPr>
          <w:rFonts w:ascii="Arial" w:hAnsi="Arial" w:cs="Arial"/>
          <w:color w:val="auto"/>
          <w:sz w:val="22"/>
          <w:szCs w:val="22"/>
        </w:rPr>
        <w:t xml:space="preserve"> AAAA-MM-JJ.</w:t>
      </w:r>
    </w:p>
    <w:p w14:paraId="39EF31A1" w14:textId="77777777" w:rsidR="00CB6965" w:rsidRPr="00D31B41" w:rsidRDefault="00CB6965" w:rsidP="006B3C14">
      <w:pPr>
        <w:rPr>
          <w:rFonts w:ascii="Arial" w:hAnsi="Arial" w:cs="Arial"/>
          <w:szCs w:val="22"/>
        </w:rPr>
      </w:pPr>
    </w:p>
    <w:p w14:paraId="284FB56C" w14:textId="77777777" w:rsidR="002C2BBB" w:rsidRPr="00CA7755" w:rsidRDefault="00E524F4" w:rsidP="006B3C14">
      <w:pPr>
        <w:rPr>
          <w:rFonts w:ascii="Arial" w:hAnsi="Arial" w:cs="Arial"/>
          <w:szCs w:val="22"/>
        </w:rPr>
      </w:pPr>
      <w:r w:rsidRPr="00CA7755">
        <w:rPr>
          <w:rFonts w:ascii="Arial" w:hAnsi="Arial" w:cs="Arial"/>
          <w:szCs w:val="22"/>
        </w:rPr>
        <w:t>Il est possible d’apporter un commentaire à chacune des réponses</w:t>
      </w:r>
      <w:r w:rsidR="00B24513" w:rsidRPr="00CA7755">
        <w:rPr>
          <w:rFonts w:ascii="Arial" w:hAnsi="Arial" w:cs="Arial"/>
          <w:szCs w:val="22"/>
        </w:rPr>
        <w:t xml:space="preserve"> </w:t>
      </w:r>
      <w:r w:rsidR="00CE32E4" w:rsidRPr="00CA7755">
        <w:rPr>
          <w:rFonts w:ascii="Arial" w:hAnsi="Arial" w:cs="Arial"/>
          <w:szCs w:val="22"/>
        </w:rPr>
        <w:t xml:space="preserve">et recommandé de le faire en cas de réponse « NON » (par exemple, « mesure correctrice envisagée ») ou « N/A » à </w:t>
      </w:r>
      <w:r w:rsidR="006509BA" w:rsidRPr="00CA7755">
        <w:rPr>
          <w:rFonts w:ascii="Arial" w:hAnsi="Arial" w:cs="Arial"/>
          <w:szCs w:val="22"/>
        </w:rPr>
        <w:t>une</w:t>
      </w:r>
      <w:r w:rsidR="00CE32E4" w:rsidRPr="00CA7755">
        <w:rPr>
          <w:rFonts w:ascii="Arial" w:hAnsi="Arial" w:cs="Arial"/>
          <w:szCs w:val="22"/>
        </w:rPr>
        <w:t xml:space="preserve"> question</w:t>
      </w:r>
      <w:r w:rsidRPr="00CA7755">
        <w:rPr>
          <w:rFonts w:ascii="Arial" w:hAnsi="Arial" w:cs="Arial"/>
          <w:szCs w:val="22"/>
        </w:rPr>
        <w:t>. Une cellule en regard de chaque question est prévue à cet effet.</w:t>
      </w:r>
      <w:r w:rsidR="000568ED" w:rsidRPr="00CA7755">
        <w:rPr>
          <w:rFonts w:ascii="Arial" w:hAnsi="Arial" w:cs="Arial"/>
          <w:szCs w:val="22"/>
        </w:rPr>
        <w:t xml:space="preserve"> </w:t>
      </w:r>
    </w:p>
    <w:p w14:paraId="14EFB219" w14:textId="77777777" w:rsidR="006815A6" w:rsidRPr="00D31B41" w:rsidRDefault="006815A6" w:rsidP="00E524F4">
      <w:pPr>
        <w:rPr>
          <w:rFonts w:ascii="Arial" w:hAnsi="Arial" w:cs="Arial"/>
          <w:szCs w:val="22"/>
        </w:rPr>
      </w:pPr>
    </w:p>
    <w:p w14:paraId="4A9035F5" w14:textId="3C6ECF8F" w:rsidR="00D170A9" w:rsidRPr="00D31B41" w:rsidRDefault="00CB26FA" w:rsidP="00CB26FA">
      <w:pPr>
        <w:rPr>
          <w:rFonts w:ascii="Arial" w:hAnsi="Arial" w:cs="Arial"/>
          <w:szCs w:val="22"/>
        </w:rPr>
      </w:pPr>
      <w:r w:rsidRPr="00D31B41">
        <w:rPr>
          <w:rFonts w:ascii="Arial" w:hAnsi="Arial" w:cs="Arial"/>
          <w:szCs w:val="22"/>
        </w:rPr>
        <w:t>Les réponses sont données sur la base de la dernière année civile, soit du 1er janvier au 31</w:t>
      </w:r>
      <w:r w:rsidR="00CA7755">
        <w:rPr>
          <w:rFonts w:ascii="Arial" w:hAnsi="Arial" w:cs="Arial"/>
          <w:szCs w:val="22"/>
        </w:rPr>
        <w:t> </w:t>
      </w:r>
      <w:r w:rsidRPr="00D31B41">
        <w:rPr>
          <w:rFonts w:ascii="Arial" w:hAnsi="Arial" w:cs="Arial"/>
          <w:szCs w:val="22"/>
        </w:rPr>
        <w:t>décembre de l’année (N-1) précédant l’année (N) de remise des réponses. Par exception, les questions du tableau «</w:t>
      </w:r>
      <w:r w:rsidR="00CA7755">
        <w:rPr>
          <w:rFonts w:ascii="Arial" w:hAnsi="Arial" w:cs="Arial"/>
          <w:szCs w:val="22"/>
        </w:rPr>
        <w:t> </w:t>
      </w:r>
      <w:r w:rsidRPr="00D31B41">
        <w:rPr>
          <w:rFonts w:ascii="Arial" w:hAnsi="Arial" w:cs="Arial"/>
          <w:szCs w:val="22"/>
        </w:rPr>
        <w:t>B2-1 Données statistiques relatives au représentant permanent</w:t>
      </w:r>
      <w:r w:rsidR="00CA7755">
        <w:rPr>
          <w:rFonts w:ascii="Arial" w:hAnsi="Arial" w:cs="Arial"/>
          <w:szCs w:val="22"/>
        </w:rPr>
        <w:t> </w:t>
      </w:r>
      <w:r w:rsidRPr="00D31B41">
        <w:rPr>
          <w:rFonts w:ascii="Arial" w:hAnsi="Arial" w:cs="Arial"/>
          <w:szCs w:val="22"/>
        </w:rPr>
        <w:t>» portent sur le dernier exercice financier clos ou l’exercice financier en cours de l’organisme.</w:t>
      </w:r>
      <w:r w:rsidR="00E631D9">
        <w:rPr>
          <w:rFonts w:ascii="Arial" w:hAnsi="Arial" w:cs="Arial"/>
          <w:szCs w:val="22"/>
        </w:rPr>
        <w:t xml:space="preserve"> De plus, comme indiqué à l’article 3 de l’instruction, pour la première année (réponses remises en 2022 relatives à l’année 2021), </w:t>
      </w:r>
      <w:r w:rsidR="00E631D9" w:rsidRPr="00E631D9">
        <w:rPr>
          <w:rFonts w:ascii="Arial" w:hAnsi="Arial" w:cs="Arial"/>
          <w:szCs w:val="22"/>
        </w:rPr>
        <w:t>les réponses aux questions 1.010 à 1.070, 1.080, 2.080, 7.075 et 7.080 doivent couvrir les modifications apportées depuis la date de la dernière décision de l’Autorité des marchés financiers portant sur l’enregistrement au titre des services mentionnés au 1° ou au 2° de l’article L. 54-10-2 du Code monétaire et financier</w:t>
      </w:r>
      <w:r w:rsidR="00E631D9">
        <w:rPr>
          <w:rFonts w:ascii="Arial" w:hAnsi="Arial" w:cs="Arial"/>
          <w:szCs w:val="22"/>
        </w:rPr>
        <w:t xml:space="preserve"> : par exemple, pour un PSAN enregistré en avril 2021, il s’agit de décrire dans la réponse les modifications postérieures à celles examinées par l’AMF et l’ACPR à l’occasion de l’enregistrement. </w:t>
      </w:r>
      <w:r w:rsidR="00635B5C">
        <w:rPr>
          <w:rFonts w:ascii="Arial" w:hAnsi="Arial" w:cs="Arial"/>
          <w:szCs w:val="22"/>
        </w:rPr>
        <w:t>P</w:t>
      </w:r>
      <w:r w:rsidR="00E631D9">
        <w:rPr>
          <w:rFonts w:ascii="Arial" w:hAnsi="Arial" w:cs="Arial"/>
          <w:szCs w:val="22"/>
        </w:rPr>
        <w:t xml:space="preserve">our un PSAN enregistré au cours de l’année 2020, la réponse doit couvrir toutes les modifications de 2021 et aussi celles de 2020 qui n’avaient pas été examinées par l’AMF et l’ACPR à l’occasion de l’enregistrement. </w:t>
      </w:r>
    </w:p>
    <w:p w14:paraId="73195039" w14:textId="035EC3CB" w:rsidR="00ED1518" w:rsidRDefault="00ED1518">
      <w:pPr>
        <w:rPr>
          <w:rFonts w:ascii="Arial" w:hAnsi="Arial" w:cs="Arial"/>
          <w:szCs w:val="22"/>
        </w:rPr>
      </w:pPr>
    </w:p>
    <w:p w14:paraId="6589F984" w14:textId="77777777" w:rsidR="00CA7755" w:rsidRPr="00D31B41" w:rsidRDefault="00CA7755">
      <w:pPr>
        <w:rPr>
          <w:rFonts w:ascii="Arial" w:hAnsi="Arial" w:cs="Arial"/>
          <w:szCs w:val="22"/>
        </w:rPr>
      </w:pPr>
    </w:p>
    <w:p w14:paraId="2D27A267" w14:textId="6B577ABE" w:rsidR="00ED1518" w:rsidRPr="00D31B41" w:rsidRDefault="00ED1518" w:rsidP="00ED1518">
      <w:pPr>
        <w:spacing w:line="276" w:lineRule="auto"/>
        <w:rPr>
          <w:rFonts w:ascii="Arial" w:hAnsi="Arial" w:cs="Arial"/>
          <w:b/>
          <w:szCs w:val="22"/>
          <w:u w:val="single"/>
          <w:lang w:eastAsia="en-US"/>
        </w:rPr>
      </w:pPr>
      <w:r w:rsidRPr="00D31B41">
        <w:rPr>
          <w:rFonts w:ascii="Arial" w:hAnsi="Arial" w:cs="Arial"/>
          <w:b/>
          <w:szCs w:val="22"/>
          <w:u w:val="single"/>
        </w:rPr>
        <w:t>B1 – Évaluation des risques par l’organisme</w:t>
      </w:r>
    </w:p>
    <w:p w14:paraId="648E2175" w14:textId="77777777" w:rsidR="00ED1518" w:rsidRPr="00D31B41" w:rsidRDefault="00ED1518">
      <w:pPr>
        <w:rPr>
          <w:rFonts w:ascii="Arial" w:hAnsi="Arial" w:cs="Arial"/>
          <w:szCs w:val="22"/>
        </w:rPr>
      </w:pPr>
    </w:p>
    <w:p w14:paraId="3BA66FC1" w14:textId="77777777" w:rsidR="00DE3E8C" w:rsidRPr="00D31B41" w:rsidRDefault="00632AB4" w:rsidP="00CA7755">
      <w:pPr>
        <w:autoSpaceDE w:val="0"/>
        <w:autoSpaceDN w:val="0"/>
        <w:adjustRightInd w:val="0"/>
        <w:rPr>
          <w:rFonts w:ascii="Arial" w:hAnsi="Arial" w:cs="Arial"/>
        </w:rPr>
      </w:pPr>
      <w:r w:rsidRPr="00D31B41">
        <w:rPr>
          <w:rFonts w:ascii="Arial" w:hAnsi="Arial" w:cs="Arial"/>
        </w:rPr>
        <w:t>C</w:t>
      </w:r>
      <w:r w:rsidR="00DF224E" w:rsidRPr="00D31B41">
        <w:rPr>
          <w:rFonts w:ascii="Arial" w:hAnsi="Arial" w:cs="Arial"/>
        </w:rPr>
        <w:t>onformément à l’approche par les risques qui sous-tend toute la réglementation</w:t>
      </w:r>
      <w:r w:rsidR="001F781A" w:rsidRPr="00D31B41">
        <w:rPr>
          <w:rFonts w:ascii="Arial" w:hAnsi="Arial" w:cs="Arial"/>
        </w:rPr>
        <w:t xml:space="preserve"> LCB-FT</w:t>
      </w:r>
      <w:r w:rsidR="00DF224E" w:rsidRPr="00D31B41">
        <w:rPr>
          <w:rFonts w:ascii="Arial" w:hAnsi="Arial" w:cs="Arial"/>
        </w:rPr>
        <w:t xml:space="preserve">, </w:t>
      </w:r>
      <w:r w:rsidR="00493814" w:rsidRPr="00D31B41">
        <w:rPr>
          <w:rFonts w:ascii="Arial" w:hAnsi="Arial" w:cs="Arial"/>
        </w:rPr>
        <w:t xml:space="preserve">les questions portent sur les différents éléments </w:t>
      </w:r>
      <w:r w:rsidR="00AF32C6" w:rsidRPr="00D31B41">
        <w:rPr>
          <w:rFonts w:ascii="Arial" w:hAnsi="Arial" w:cs="Arial"/>
        </w:rPr>
        <w:t xml:space="preserve">(nature des produits ou services offerts, conditions de transaction proposées, canaux de distribution utilisés, caractéristiques des clients, pays ou territoires d’origine et de destination des fonds) </w:t>
      </w:r>
      <w:r w:rsidR="00493814" w:rsidRPr="00D31B41">
        <w:rPr>
          <w:rFonts w:ascii="Arial" w:hAnsi="Arial" w:cs="Arial"/>
        </w:rPr>
        <w:t>que la réglementation LCB-FT (</w:t>
      </w:r>
      <w:r w:rsidR="00AF32C6" w:rsidRPr="00D31B41">
        <w:rPr>
          <w:rFonts w:ascii="Arial" w:hAnsi="Arial" w:cs="Arial"/>
        </w:rPr>
        <w:t xml:space="preserve">cf. </w:t>
      </w:r>
      <w:r w:rsidR="00493814" w:rsidRPr="00D31B41">
        <w:rPr>
          <w:rFonts w:ascii="Arial" w:hAnsi="Arial" w:cs="Arial"/>
        </w:rPr>
        <w:t>article L. 561-4-1</w:t>
      </w:r>
      <w:r w:rsidR="00AF32C6" w:rsidRPr="00D31B41">
        <w:rPr>
          <w:rFonts w:ascii="Arial" w:hAnsi="Arial" w:cs="Arial"/>
        </w:rPr>
        <w:t xml:space="preserve"> du </w:t>
      </w:r>
      <w:r w:rsidR="00137BAD" w:rsidRPr="00D31B41">
        <w:rPr>
          <w:rFonts w:ascii="Arial" w:hAnsi="Arial" w:cs="Arial"/>
        </w:rPr>
        <w:t>CMF</w:t>
      </w:r>
      <w:r w:rsidR="00493814" w:rsidRPr="00D31B41">
        <w:rPr>
          <w:rFonts w:ascii="Arial" w:hAnsi="Arial" w:cs="Arial"/>
        </w:rPr>
        <w:t>) exige</w:t>
      </w:r>
      <w:r w:rsidR="00AF32C6" w:rsidRPr="00D31B41">
        <w:rPr>
          <w:rFonts w:ascii="Arial" w:hAnsi="Arial" w:cs="Arial"/>
        </w:rPr>
        <w:t xml:space="preserve"> de prendre en compte</w:t>
      </w:r>
      <w:r w:rsidR="00493814" w:rsidRPr="00D31B41">
        <w:rPr>
          <w:rFonts w:ascii="Arial" w:hAnsi="Arial" w:cs="Arial"/>
        </w:rPr>
        <w:t xml:space="preserve"> pour élaborer leur classification</w:t>
      </w:r>
      <w:r w:rsidR="00202083" w:rsidRPr="00D31B41">
        <w:rPr>
          <w:rFonts w:ascii="Arial" w:hAnsi="Arial" w:cs="Arial"/>
        </w:rPr>
        <w:t xml:space="preserve"> des risques BC-FT</w:t>
      </w:r>
      <w:r w:rsidR="00AF32C6" w:rsidRPr="00D31B41">
        <w:rPr>
          <w:rFonts w:ascii="Arial" w:hAnsi="Arial" w:cs="Arial"/>
        </w:rPr>
        <w:t xml:space="preserve">. </w:t>
      </w:r>
    </w:p>
    <w:p w14:paraId="7B1A0851" w14:textId="7E116BFA" w:rsidR="00A46B44" w:rsidRDefault="00AF32C6" w:rsidP="00CA7755">
      <w:pPr>
        <w:autoSpaceDE w:val="0"/>
        <w:autoSpaceDN w:val="0"/>
        <w:adjustRightInd w:val="0"/>
        <w:rPr>
          <w:rFonts w:ascii="Arial" w:hAnsi="Arial" w:cs="Arial"/>
        </w:rPr>
      </w:pPr>
      <w:r w:rsidRPr="00D31B41">
        <w:rPr>
          <w:rFonts w:ascii="Arial" w:hAnsi="Arial" w:cs="Arial"/>
        </w:rPr>
        <w:t xml:space="preserve">En particulier, </w:t>
      </w:r>
      <w:r w:rsidR="00137BAD" w:rsidRPr="00D31B41">
        <w:rPr>
          <w:rFonts w:ascii="Arial" w:hAnsi="Arial" w:cs="Arial"/>
        </w:rPr>
        <w:t>la</w:t>
      </w:r>
      <w:r w:rsidRPr="00D31B41">
        <w:rPr>
          <w:rFonts w:ascii="Arial" w:hAnsi="Arial" w:cs="Arial"/>
        </w:rPr>
        <w:t xml:space="preserve"> question</w:t>
      </w:r>
      <w:r w:rsidR="00F53B7C" w:rsidRPr="00D31B41">
        <w:rPr>
          <w:rFonts w:ascii="Arial" w:hAnsi="Arial" w:cs="Arial"/>
        </w:rPr>
        <w:t xml:space="preserve"> 1.060</w:t>
      </w:r>
      <w:r w:rsidR="00FC1845" w:rsidRPr="00D31B41">
        <w:rPr>
          <w:rFonts w:ascii="Arial" w:hAnsi="Arial" w:cs="Arial"/>
        </w:rPr>
        <w:t xml:space="preserve"> </w:t>
      </w:r>
      <w:r w:rsidRPr="00D31B41">
        <w:rPr>
          <w:rFonts w:ascii="Arial" w:hAnsi="Arial" w:cs="Arial"/>
        </w:rPr>
        <w:t>porte sur la prise en compte des risques propres au financement du terrorisme dans</w:t>
      </w:r>
      <w:r w:rsidR="00610879">
        <w:rPr>
          <w:rFonts w:ascii="Arial" w:hAnsi="Arial" w:cs="Arial"/>
        </w:rPr>
        <w:t xml:space="preserve"> la classification des risques.</w:t>
      </w:r>
    </w:p>
    <w:p w14:paraId="30BDF706" w14:textId="27173982" w:rsidR="00610879" w:rsidRPr="00D31B41" w:rsidRDefault="00610879" w:rsidP="00CA7755">
      <w:pPr>
        <w:autoSpaceDE w:val="0"/>
        <w:autoSpaceDN w:val="0"/>
        <w:adjustRightInd w:val="0"/>
        <w:rPr>
          <w:rFonts w:ascii="Arial" w:hAnsi="Arial" w:cs="Arial"/>
        </w:rPr>
      </w:pPr>
      <w:r>
        <w:rPr>
          <w:rFonts w:ascii="Arial" w:hAnsi="Arial" w:cs="Arial"/>
        </w:rPr>
        <w:t>Pour la question 1.050, lorsque les flux ne concernent que des actifs numériques, les territoires d’origine et de destination des fonds sont les territoires où se trouvent l’émetteur et le destinataire de la transaction. À cet égard</w:t>
      </w:r>
      <w:r w:rsidR="00CA7755">
        <w:rPr>
          <w:rFonts w:ascii="Arial" w:hAnsi="Arial" w:cs="Arial"/>
        </w:rPr>
        <w:t>,</w:t>
      </w:r>
      <w:r>
        <w:rPr>
          <w:rFonts w:ascii="Arial" w:hAnsi="Arial" w:cs="Arial"/>
        </w:rPr>
        <w:t xml:space="preserve"> il convient de prendre en compte non seulement l’adresse de résidence mais aussi d’autres facteurs comme l’adresse IP. Lorsque le flux provient d’un compte bancaire o</w:t>
      </w:r>
      <w:r w:rsidR="007103EC">
        <w:rPr>
          <w:rFonts w:ascii="Arial" w:hAnsi="Arial" w:cs="Arial"/>
        </w:rPr>
        <w:t>u</w:t>
      </w:r>
      <w:r>
        <w:rPr>
          <w:rFonts w:ascii="Arial" w:hAnsi="Arial" w:cs="Arial"/>
        </w:rPr>
        <w:t xml:space="preserve"> aboutit sur un compte bancaire, il convient</w:t>
      </w:r>
      <w:r w:rsidR="007103EC">
        <w:rPr>
          <w:rFonts w:ascii="Arial" w:hAnsi="Arial" w:cs="Arial"/>
        </w:rPr>
        <w:t xml:space="preserve"> également</w:t>
      </w:r>
      <w:r>
        <w:rPr>
          <w:rFonts w:ascii="Arial" w:hAnsi="Arial" w:cs="Arial"/>
        </w:rPr>
        <w:t xml:space="preserve"> de prendre en compte la domiciliation du compte.</w:t>
      </w:r>
    </w:p>
    <w:p w14:paraId="02BA74BB" w14:textId="77777777" w:rsidR="00840AFB" w:rsidRPr="00D31B41" w:rsidRDefault="00840AFB" w:rsidP="00D31B41">
      <w:pPr>
        <w:autoSpaceDE w:val="0"/>
        <w:autoSpaceDN w:val="0"/>
        <w:adjustRightInd w:val="0"/>
        <w:spacing w:line="276" w:lineRule="auto"/>
        <w:rPr>
          <w:rFonts w:ascii="Arial" w:hAnsi="Arial" w:cs="Arial"/>
        </w:rPr>
      </w:pPr>
    </w:p>
    <w:p w14:paraId="461CCB5A" w14:textId="77777777" w:rsidR="00ED1518" w:rsidRPr="00D31B41" w:rsidRDefault="00ED1518" w:rsidP="00D31B41">
      <w:pPr>
        <w:autoSpaceDE w:val="0"/>
        <w:autoSpaceDN w:val="0"/>
        <w:adjustRightInd w:val="0"/>
        <w:spacing w:line="276" w:lineRule="auto"/>
        <w:rPr>
          <w:rFonts w:ascii="Arial" w:hAnsi="Arial" w:cs="Arial"/>
        </w:rPr>
      </w:pPr>
    </w:p>
    <w:p w14:paraId="59B215FC" w14:textId="7A187FE6" w:rsidR="00ED1518" w:rsidRPr="00D31B41" w:rsidRDefault="00ED1518" w:rsidP="00D31B41">
      <w:pPr>
        <w:autoSpaceDE w:val="0"/>
        <w:autoSpaceDN w:val="0"/>
        <w:adjustRightInd w:val="0"/>
        <w:spacing w:line="276" w:lineRule="auto"/>
        <w:rPr>
          <w:rFonts w:ascii="Arial" w:hAnsi="Arial" w:cs="Arial"/>
          <w:b/>
          <w:u w:val="single"/>
        </w:rPr>
      </w:pPr>
      <w:r w:rsidRPr="00D31B41">
        <w:rPr>
          <w:rFonts w:ascii="Arial" w:hAnsi="Arial" w:cs="Arial"/>
          <w:b/>
          <w:u w:val="single"/>
        </w:rPr>
        <w:t>B2</w:t>
      </w:r>
      <w:r w:rsidR="00CA7755">
        <w:rPr>
          <w:rFonts w:ascii="Arial" w:hAnsi="Arial" w:cs="Arial"/>
          <w:b/>
          <w:u w:val="single"/>
        </w:rPr>
        <w:t xml:space="preserve"> </w:t>
      </w:r>
      <w:r w:rsidRPr="00D31B41">
        <w:rPr>
          <w:rFonts w:ascii="Arial" w:hAnsi="Arial" w:cs="Arial"/>
          <w:b/>
          <w:u w:val="single"/>
        </w:rPr>
        <w:t>-</w:t>
      </w:r>
      <w:r w:rsidR="00CA7755">
        <w:rPr>
          <w:rFonts w:ascii="Arial" w:hAnsi="Arial" w:cs="Arial"/>
          <w:b/>
          <w:u w:val="single"/>
        </w:rPr>
        <w:t xml:space="preserve"> </w:t>
      </w:r>
      <w:r w:rsidRPr="00D31B41">
        <w:rPr>
          <w:rFonts w:ascii="Arial" w:hAnsi="Arial" w:cs="Arial"/>
          <w:b/>
          <w:u w:val="single"/>
        </w:rPr>
        <w:t>Organisation du dispositif LCB-FT</w:t>
      </w:r>
    </w:p>
    <w:p w14:paraId="200250AC" w14:textId="77777777" w:rsidR="00ED1518" w:rsidRPr="00D31B41" w:rsidRDefault="00ED1518" w:rsidP="00D31B41">
      <w:pPr>
        <w:autoSpaceDE w:val="0"/>
        <w:autoSpaceDN w:val="0"/>
        <w:adjustRightInd w:val="0"/>
        <w:spacing w:line="276" w:lineRule="auto"/>
        <w:rPr>
          <w:rFonts w:ascii="Arial" w:hAnsi="Arial" w:cs="Arial"/>
        </w:rPr>
      </w:pPr>
    </w:p>
    <w:p w14:paraId="31022FE8" w14:textId="77777777" w:rsidR="00D26E59" w:rsidRDefault="00DE3E8C" w:rsidP="00CA7755">
      <w:pPr>
        <w:autoSpaceDE w:val="0"/>
        <w:autoSpaceDN w:val="0"/>
        <w:adjustRightInd w:val="0"/>
        <w:rPr>
          <w:rFonts w:ascii="Arial" w:hAnsi="Arial" w:cs="Arial"/>
        </w:rPr>
      </w:pPr>
      <w:r w:rsidRPr="00D31B41">
        <w:rPr>
          <w:rFonts w:ascii="Arial" w:hAnsi="Arial" w:cs="Arial"/>
        </w:rPr>
        <w:t>Les fonctions de déclarant et de correspondant Tracfin ne sont pas nécessairement assurées par la même personne.</w:t>
      </w:r>
    </w:p>
    <w:p w14:paraId="3BF49579" w14:textId="623AB141" w:rsidR="00610879" w:rsidRDefault="00610879" w:rsidP="00CA7755">
      <w:pPr>
        <w:autoSpaceDE w:val="0"/>
        <w:autoSpaceDN w:val="0"/>
        <w:adjustRightInd w:val="0"/>
        <w:rPr>
          <w:rFonts w:ascii="Arial" w:hAnsi="Arial" w:cs="Arial"/>
        </w:rPr>
      </w:pPr>
      <w:r w:rsidRPr="00610879">
        <w:rPr>
          <w:rFonts w:ascii="Arial" w:hAnsi="Arial" w:cs="Arial"/>
        </w:rPr>
        <w:t xml:space="preserve">Lorsque le correspondant Tracfin est la même personne que le déclarant Tracfin, l’organisme peut ne remplir que le tableau « identité du (des) déclarant(s) Tracfin ». Cependant, lorsque les correspondants Tracfin sont différents des déclarants Tracfin, le tableau « identité du (des) </w:t>
      </w:r>
      <w:r w:rsidRPr="00610879">
        <w:rPr>
          <w:rFonts w:ascii="Arial" w:hAnsi="Arial" w:cs="Arial"/>
        </w:rPr>
        <w:lastRenderedPageBreak/>
        <w:t>correspondant(s) Tracfin » remis par l’organisme doit préciser l’identité de l’ensemble des correspondants Tracfin, quand bien même certains sont également déclarants Tracfin.</w:t>
      </w:r>
    </w:p>
    <w:p w14:paraId="00AEEB80" w14:textId="1E825C61" w:rsidR="00CB5E8F" w:rsidRDefault="00CB5E8F" w:rsidP="00CA7755">
      <w:pPr>
        <w:autoSpaceDE w:val="0"/>
        <w:autoSpaceDN w:val="0"/>
        <w:adjustRightInd w:val="0"/>
        <w:rPr>
          <w:rFonts w:ascii="Arial" w:hAnsi="Arial" w:cs="Arial"/>
        </w:rPr>
      </w:pPr>
    </w:p>
    <w:p w14:paraId="71A93AA3" w14:textId="1731A8DE" w:rsidR="00CB5E8F" w:rsidRPr="00CB5E8F" w:rsidRDefault="00CB5E8F" w:rsidP="00CA7755">
      <w:pPr>
        <w:autoSpaceDE w:val="0"/>
        <w:autoSpaceDN w:val="0"/>
        <w:adjustRightInd w:val="0"/>
        <w:rPr>
          <w:rFonts w:ascii="Arial" w:hAnsi="Arial" w:cs="Arial"/>
        </w:rPr>
      </w:pPr>
      <w:r w:rsidRPr="00CB5E8F">
        <w:rPr>
          <w:rFonts w:ascii="Arial" w:hAnsi="Arial" w:cs="Arial"/>
        </w:rPr>
        <w:t xml:space="preserve">La question 2.050 porte sur l’information et la formation aux facteurs de risques spécifiques de financement du terrorisme (par exemple, nouvelles typologies de financement du terrorisme diffusées par Tracfin, le </w:t>
      </w:r>
      <w:proofErr w:type="spellStart"/>
      <w:r w:rsidRPr="00CB5E8F">
        <w:rPr>
          <w:rFonts w:ascii="Arial" w:hAnsi="Arial" w:cs="Arial"/>
        </w:rPr>
        <w:t>Gafi</w:t>
      </w:r>
      <w:proofErr w:type="spellEnd"/>
      <w:r w:rsidRPr="00CB5E8F">
        <w:rPr>
          <w:rFonts w:ascii="Arial" w:hAnsi="Arial" w:cs="Arial"/>
        </w:rPr>
        <w:t xml:space="preserve">, </w:t>
      </w:r>
      <w:r w:rsidR="00A262BF">
        <w:rPr>
          <w:rFonts w:ascii="Arial" w:hAnsi="Arial" w:cs="Arial"/>
        </w:rPr>
        <w:t>la Commission européenne, l</w:t>
      </w:r>
      <w:r w:rsidR="00192949">
        <w:rPr>
          <w:rFonts w:ascii="Arial" w:hAnsi="Arial" w:cs="Arial"/>
        </w:rPr>
        <w:t>’Autorité bancaire européenne</w:t>
      </w:r>
      <w:r w:rsidR="00A262BF">
        <w:rPr>
          <w:rFonts w:ascii="Arial" w:hAnsi="Arial" w:cs="Arial"/>
        </w:rPr>
        <w:t xml:space="preserve">, </w:t>
      </w:r>
      <w:r w:rsidRPr="00CB5E8F">
        <w:rPr>
          <w:rFonts w:ascii="Arial" w:hAnsi="Arial" w:cs="Arial"/>
        </w:rPr>
        <w:t>la D</w:t>
      </w:r>
      <w:r w:rsidR="00CA7755">
        <w:rPr>
          <w:rFonts w:ascii="Arial" w:hAnsi="Arial" w:cs="Arial"/>
        </w:rPr>
        <w:t>irection générale du T</w:t>
      </w:r>
      <w:r w:rsidRPr="00CB5E8F">
        <w:rPr>
          <w:rFonts w:ascii="Arial" w:hAnsi="Arial" w:cs="Arial"/>
        </w:rPr>
        <w:t>résor ou</w:t>
      </w:r>
      <w:r w:rsidR="00CA7755">
        <w:rPr>
          <w:rFonts w:ascii="Arial" w:hAnsi="Arial" w:cs="Arial"/>
        </w:rPr>
        <w:t>,</w:t>
      </w:r>
      <w:r w:rsidRPr="00CB5E8F">
        <w:rPr>
          <w:rFonts w:ascii="Arial" w:hAnsi="Arial" w:cs="Arial"/>
        </w:rPr>
        <w:t xml:space="preserve"> le cas échéant, l’ACPR, ou encore issues du retour d’expérience des organismes sur leurs déclarations de soupçon en lien avec le financement du terrorisme). Elle ne concerne que les préposés et personnes agissant au nom et pour le compte de l’organisme, qui sont en relation avec la clientèle. Pour de plus amples précisions sur la notion de « préposés et personnes agissant au nom et pour le compte de l’organisme », il convient de se reporter au tableau B8 du présent guide.</w:t>
      </w:r>
    </w:p>
    <w:p w14:paraId="0A1EA80B" w14:textId="77777777" w:rsidR="00CB5E8F" w:rsidRPr="00D31B41" w:rsidRDefault="00CB5E8F" w:rsidP="00CA7755">
      <w:pPr>
        <w:autoSpaceDE w:val="0"/>
        <w:autoSpaceDN w:val="0"/>
        <w:adjustRightInd w:val="0"/>
        <w:rPr>
          <w:rFonts w:ascii="Arial" w:hAnsi="Arial" w:cs="Arial"/>
        </w:rPr>
      </w:pPr>
    </w:p>
    <w:p w14:paraId="311713A8" w14:textId="77777777" w:rsidR="008023B6" w:rsidRPr="00D31B41" w:rsidRDefault="008023B6" w:rsidP="00D31B41">
      <w:pPr>
        <w:autoSpaceDE w:val="0"/>
        <w:autoSpaceDN w:val="0"/>
        <w:adjustRightInd w:val="0"/>
        <w:spacing w:line="276" w:lineRule="auto"/>
        <w:rPr>
          <w:rFonts w:ascii="Arial" w:hAnsi="Arial" w:cs="Arial"/>
        </w:rPr>
      </w:pPr>
    </w:p>
    <w:p w14:paraId="5BE24E62" w14:textId="53D499CF" w:rsidR="00ED1518" w:rsidRDefault="00ED1518" w:rsidP="00ED1518">
      <w:pPr>
        <w:autoSpaceDE w:val="0"/>
        <w:autoSpaceDN w:val="0"/>
        <w:adjustRightInd w:val="0"/>
        <w:spacing w:line="276" w:lineRule="auto"/>
        <w:rPr>
          <w:rStyle w:val="lev"/>
          <w:rFonts w:ascii="Arial" w:hAnsi="Arial" w:cs="Arial"/>
          <w:u w:val="single"/>
          <w:lang w:eastAsia="en-US"/>
        </w:rPr>
      </w:pPr>
      <w:r>
        <w:rPr>
          <w:rStyle w:val="lev"/>
          <w:rFonts w:ascii="Arial" w:hAnsi="Arial" w:cs="Arial"/>
          <w:u w:val="single"/>
        </w:rPr>
        <w:t>B3</w:t>
      </w:r>
      <w:r w:rsidR="00CA7755">
        <w:rPr>
          <w:rStyle w:val="lev"/>
          <w:rFonts w:ascii="Arial" w:hAnsi="Arial" w:cs="Arial"/>
          <w:u w:val="single"/>
        </w:rPr>
        <w:t xml:space="preserve"> </w:t>
      </w:r>
      <w:r>
        <w:rPr>
          <w:rStyle w:val="lev"/>
          <w:rFonts w:ascii="Arial" w:hAnsi="Arial" w:cs="Arial"/>
          <w:u w:val="single"/>
        </w:rPr>
        <w:t>- Contrôle interne des dispositifs de LCB-FT et de gel des avoirs</w:t>
      </w:r>
    </w:p>
    <w:p w14:paraId="13E5F2DA" w14:textId="77777777" w:rsidR="00100C50" w:rsidRDefault="00100C50" w:rsidP="00ED1518">
      <w:pPr>
        <w:autoSpaceDE w:val="0"/>
        <w:autoSpaceDN w:val="0"/>
        <w:adjustRightInd w:val="0"/>
        <w:spacing w:line="276" w:lineRule="auto"/>
        <w:rPr>
          <w:rFonts w:ascii="Arial" w:hAnsi="Arial" w:cs="Arial"/>
          <w:u w:val="single"/>
        </w:rPr>
      </w:pPr>
    </w:p>
    <w:p w14:paraId="77A24239" w14:textId="77777777" w:rsidR="00ED1518" w:rsidRDefault="00ED1518" w:rsidP="00ED1518">
      <w:pPr>
        <w:autoSpaceDE w:val="0"/>
        <w:autoSpaceDN w:val="0"/>
        <w:adjustRightInd w:val="0"/>
        <w:spacing w:line="276" w:lineRule="auto"/>
        <w:rPr>
          <w:rFonts w:ascii="Arial" w:hAnsi="Arial" w:cs="Arial"/>
          <w:u w:val="single"/>
        </w:rPr>
      </w:pPr>
      <w:r>
        <w:rPr>
          <w:rFonts w:ascii="Arial" w:hAnsi="Arial" w:cs="Arial"/>
          <w:u w:val="single"/>
        </w:rPr>
        <w:t xml:space="preserve">Contrôle </w:t>
      </w:r>
      <w:r w:rsidR="00100C50">
        <w:rPr>
          <w:rFonts w:ascii="Arial" w:hAnsi="Arial" w:cs="Arial"/>
          <w:u w:val="single"/>
        </w:rPr>
        <w:t xml:space="preserve">permanent et </w:t>
      </w:r>
      <w:r>
        <w:rPr>
          <w:rFonts w:ascii="Arial" w:hAnsi="Arial" w:cs="Arial"/>
          <w:u w:val="single"/>
        </w:rPr>
        <w:t xml:space="preserve">périodique </w:t>
      </w:r>
    </w:p>
    <w:p w14:paraId="26D38B48" w14:textId="77777777" w:rsidR="00ED1518" w:rsidRDefault="00ED1518" w:rsidP="00ED1518">
      <w:pPr>
        <w:autoSpaceDE w:val="0"/>
        <w:autoSpaceDN w:val="0"/>
        <w:adjustRightInd w:val="0"/>
        <w:spacing w:line="276" w:lineRule="auto"/>
        <w:rPr>
          <w:rFonts w:ascii="Arial" w:hAnsi="Arial" w:cs="Arial"/>
        </w:rPr>
      </w:pPr>
    </w:p>
    <w:p w14:paraId="1C930553" w14:textId="48F460F3" w:rsidR="00ED1518" w:rsidRDefault="00ED1518" w:rsidP="00CA7755">
      <w:pPr>
        <w:autoSpaceDE w:val="0"/>
        <w:autoSpaceDN w:val="0"/>
        <w:adjustRightInd w:val="0"/>
        <w:rPr>
          <w:rFonts w:ascii="Arial" w:hAnsi="Arial" w:cs="Arial"/>
        </w:rPr>
      </w:pPr>
      <w:r>
        <w:rPr>
          <w:rFonts w:ascii="Arial" w:hAnsi="Arial" w:cs="Arial"/>
        </w:rPr>
        <w:t>Les questions n° 3.</w:t>
      </w:r>
      <w:r w:rsidR="00100C50">
        <w:rPr>
          <w:rFonts w:ascii="Arial" w:hAnsi="Arial" w:cs="Arial"/>
        </w:rPr>
        <w:t>010 à 3.175</w:t>
      </w:r>
      <w:r>
        <w:rPr>
          <w:rFonts w:ascii="Arial" w:hAnsi="Arial" w:cs="Arial"/>
        </w:rPr>
        <w:t xml:space="preserve"> portent sur le contrôle du caractère adéquat et efficace du </w:t>
      </w:r>
      <w:r w:rsidR="00CD0C62">
        <w:rPr>
          <w:rFonts w:ascii="Arial" w:hAnsi="Arial" w:cs="Arial"/>
        </w:rPr>
        <w:t xml:space="preserve">contrôle interne du </w:t>
      </w:r>
      <w:r>
        <w:rPr>
          <w:rFonts w:ascii="Arial" w:hAnsi="Arial" w:cs="Arial"/>
        </w:rPr>
        <w:t xml:space="preserve">dispositif LCB-FT mis en place par l’organisme. </w:t>
      </w:r>
    </w:p>
    <w:p w14:paraId="4F401585" w14:textId="77777777" w:rsidR="00100C50" w:rsidRDefault="00100C50" w:rsidP="00ED1518">
      <w:pPr>
        <w:autoSpaceDE w:val="0"/>
        <w:autoSpaceDN w:val="0"/>
        <w:adjustRightInd w:val="0"/>
        <w:spacing w:line="276" w:lineRule="auto"/>
        <w:rPr>
          <w:rFonts w:ascii="Arial" w:hAnsi="Arial" w:cs="Arial"/>
        </w:rPr>
      </w:pPr>
    </w:p>
    <w:p w14:paraId="68867D62" w14:textId="4ED14735" w:rsidR="00E52578" w:rsidRPr="00E52578" w:rsidRDefault="00E52578" w:rsidP="00E52578">
      <w:pPr>
        <w:autoSpaceDE w:val="0"/>
        <w:autoSpaceDN w:val="0"/>
        <w:adjustRightInd w:val="0"/>
        <w:spacing w:line="276" w:lineRule="auto"/>
        <w:rPr>
          <w:rFonts w:ascii="Arial" w:hAnsi="Arial" w:cs="Arial"/>
          <w:u w:val="single"/>
        </w:rPr>
      </w:pPr>
      <w:r w:rsidRPr="00E52578">
        <w:rPr>
          <w:rFonts w:ascii="Arial" w:hAnsi="Arial" w:cs="Arial"/>
          <w:u w:val="single"/>
        </w:rPr>
        <w:t>Tierce</w:t>
      </w:r>
      <w:r w:rsidR="00CA7755">
        <w:rPr>
          <w:rFonts w:ascii="Arial" w:hAnsi="Arial" w:cs="Arial"/>
          <w:u w:val="single"/>
        </w:rPr>
        <w:t xml:space="preserve"> </w:t>
      </w:r>
      <w:r w:rsidRPr="00E52578">
        <w:rPr>
          <w:rFonts w:ascii="Arial" w:hAnsi="Arial" w:cs="Arial"/>
          <w:u w:val="single"/>
        </w:rPr>
        <w:t>introduction</w:t>
      </w:r>
    </w:p>
    <w:p w14:paraId="0A85124A" w14:textId="77777777" w:rsidR="00E52578" w:rsidRPr="00E52578" w:rsidRDefault="00E52578" w:rsidP="00E52578">
      <w:pPr>
        <w:autoSpaceDE w:val="0"/>
        <w:autoSpaceDN w:val="0"/>
        <w:adjustRightInd w:val="0"/>
        <w:spacing w:line="276" w:lineRule="auto"/>
        <w:rPr>
          <w:rFonts w:ascii="Arial" w:hAnsi="Arial" w:cs="Arial"/>
          <w:u w:val="single"/>
        </w:rPr>
      </w:pPr>
    </w:p>
    <w:p w14:paraId="2E1B53C3" w14:textId="54CDF9FB" w:rsidR="00E52578" w:rsidRPr="00E52578" w:rsidRDefault="00E52578" w:rsidP="00CA7755">
      <w:pPr>
        <w:autoSpaceDE w:val="0"/>
        <w:autoSpaceDN w:val="0"/>
        <w:adjustRightInd w:val="0"/>
        <w:rPr>
          <w:rFonts w:ascii="Arial" w:hAnsi="Arial" w:cs="Arial"/>
        </w:rPr>
      </w:pPr>
      <w:r w:rsidRPr="00E52578">
        <w:rPr>
          <w:rFonts w:ascii="Arial" w:hAnsi="Arial" w:cs="Arial"/>
        </w:rPr>
        <w:t xml:space="preserve">En cas de recours à un tiers introducteur pour la mise en œuvre des obligations d’identification et de connaissance de la relation d’affaires, l’organisme remettant répond </w:t>
      </w:r>
      <w:r w:rsidR="007F2D16">
        <w:rPr>
          <w:rFonts w:ascii="Arial" w:hAnsi="Arial" w:cs="Arial"/>
        </w:rPr>
        <w:t xml:space="preserve">« OUI » </w:t>
      </w:r>
      <w:r>
        <w:rPr>
          <w:rFonts w:ascii="Arial" w:hAnsi="Arial" w:cs="Arial"/>
        </w:rPr>
        <w:t>à la question 3.18</w:t>
      </w:r>
      <w:r w:rsidRPr="00E52578">
        <w:rPr>
          <w:rFonts w:ascii="Arial" w:hAnsi="Arial" w:cs="Arial"/>
        </w:rPr>
        <w:t>0</w:t>
      </w:r>
      <w:r>
        <w:rPr>
          <w:rFonts w:ascii="Arial" w:hAnsi="Arial" w:cs="Arial"/>
        </w:rPr>
        <w:t xml:space="preserve"> (question filtre)</w:t>
      </w:r>
      <w:r w:rsidR="007F2D16">
        <w:rPr>
          <w:rFonts w:ascii="Arial" w:hAnsi="Arial" w:cs="Arial"/>
        </w:rPr>
        <w:t xml:space="preserve"> et répond également à la question suivante</w:t>
      </w:r>
      <w:r w:rsidRPr="00E52578">
        <w:rPr>
          <w:rFonts w:ascii="Arial" w:hAnsi="Arial" w:cs="Arial"/>
        </w:rPr>
        <w:t>.</w:t>
      </w:r>
    </w:p>
    <w:p w14:paraId="69692020" w14:textId="77777777" w:rsidR="00E52578" w:rsidRDefault="00E52578" w:rsidP="00E52578">
      <w:pPr>
        <w:autoSpaceDE w:val="0"/>
        <w:autoSpaceDN w:val="0"/>
        <w:adjustRightInd w:val="0"/>
        <w:spacing w:line="276" w:lineRule="auto"/>
        <w:rPr>
          <w:rFonts w:ascii="Arial" w:hAnsi="Arial" w:cs="Arial"/>
          <w:u w:val="single"/>
        </w:rPr>
      </w:pPr>
    </w:p>
    <w:p w14:paraId="010265FD" w14:textId="77777777" w:rsidR="00ED1518" w:rsidRDefault="00ED1518" w:rsidP="00ED1518">
      <w:pPr>
        <w:autoSpaceDE w:val="0"/>
        <w:autoSpaceDN w:val="0"/>
        <w:adjustRightInd w:val="0"/>
        <w:spacing w:line="276" w:lineRule="auto"/>
        <w:rPr>
          <w:rFonts w:ascii="Arial" w:hAnsi="Arial" w:cs="Arial"/>
          <w:u w:val="single"/>
        </w:rPr>
      </w:pPr>
      <w:r>
        <w:rPr>
          <w:rFonts w:ascii="Arial" w:hAnsi="Arial" w:cs="Arial"/>
          <w:u w:val="single"/>
        </w:rPr>
        <w:t xml:space="preserve">Externalisation en matière de LCB-FT et de gel des avoirs </w:t>
      </w:r>
    </w:p>
    <w:p w14:paraId="540F3FC6" w14:textId="77777777" w:rsidR="00ED1518" w:rsidRDefault="00ED1518" w:rsidP="00ED1518">
      <w:pPr>
        <w:autoSpaceDE w:val="0"/>
        <w:autoSpaceDN w:val="0"/>
        <w:adjustRightInd w:val="0"/>
        <w:spacing w:line="276" w:lineRule="auto"/>
        <w:rPr>
          <w:rFonts w:ascii="Arial" w:hAnsi="Arial" w:cs="Arial"/>
        </w:rPr>
      </w:pPr>
    </w:p>
    <w:p w14:paraId="680E76DB" w14:textId="5CFCD662" w:rsidR="00ED1518" w:rsidRDefault="00ED1518" w:rsidP="00CA7755">
      <w:pPr>
        <w:autoSpaceDE w:val="0"/>
        <w:autoSpaceDN w:val="0"/>
        <w:adjustRightInd w:val="0"/>
        <w:rPr>
          <w:rFonts w:ascii="Arial" w:hAnsi="Arial" w:cs="Arial"/>
        </w:rPr>
      </w:pPr>
      <w:r>
        <w:rPr>
          <w:rFonts w:ascii="Arial" w:hAnsi="Arial" w:cs="Arial"/>
        </w:rPr>
        <w:t>La question 3.</w:t>
      </w:r>
      <w:r w:rsidR="00581978">
        <w:rPr>
          <w:rFonts w:ascii="Arial" w:hAnsi="Arial" w:cs="Arial"/>
        </w:rPr>
        <w:t>215</w:t>
      </w:r>
      <w:r>
        <w:rPr>
          <w:rFonts w:ascii="Arial" w:hAnsi="Arial" w:cs="Arial"/>
        </w:rPr>
        <w:t xml:space="preserve"> est une question filtre. Si l’organisme a recours à des prestataires pour la mise en œuvre au nom et pour son compte d’activités opérationnelles liées aux obligations LCB-FT ou en matière de gel des avoirs</w:t>
      </w:r>
      <w:r>
        <w:rPr>
          <w:rStyle w:val="Appelnotedebasdep"/>
          <w:rFonts w:cs="Arial"/>
        </w:rPr>
        <w:footnoteReference w:id="1"/>
      </w:r>
      <w:r>
        <w:rPr>
          <w:rFonts w:ascii="Arial" w:hAnsi="Arial" w:cs="Arial"/>
        </w:rPr>
        <w:t xml:space="preserve">, il répond « OUI » à cette question et répond également </w:t>
      </w:r>
      <w:r w:rsidR="0021772F">
        <w:rPr>
          <w:rFonts w:ascii="Arial" w:hAnsi="Arial" w:cs="Arial"/>
        </w:rPr>
        <w:t>à la question suivante</w:t>
      </w:r>
      <w:r>
        <w:rPr>
          <w:rFonts w:ascii="Arial" w:hAnsi="Arial" w:cs="Arial"/>
        </w:rPr>
        <w:t xml:space="preserve">. </w:t>
      </w:r>
    </w:p>
    <w:p w14:paraId="68BF0F16" w14:textId="030BE44A" w:rsidR="00A100BB" w:rsidRDefault="00A100BB" w:rsidP="00CA7755">
      <w:pPr>
        <w:autoSpaceDE w:val="0"/>
        <w:autoSpaceDN w:val="0"/>
        <w:adjustRightInd w:val="0"/>
        <w:rPr>
          <w:rFonts w:ascii="Arial" w:hAnsi="Arial" w:cs="Arial"/>
        </w:rPr>
      </w:pPr>
    </w:p>
    <w:p w14:paraId="7A418F85" w14:textId="46078EB9" w:rsidR="00A100BB" w:rsidRDefault="00A100BB" w:rsidP="00CA7755">
      <w:pPr>
        <w:autoSpaceDE w:val="0"/>
        <w:autoSpaceDN w:val="0"/>
        <w:adjustRightInd w:val="0"/>
        <w:rPr>
          <w:rFonts w:ascii="Arial" w:hAnsi="Arial" w:cs="Arial"/>
        </w:rPr>
      </w:pPr>
      <w:r>
        <w:rPr>
          <w:rFonts w:ascii="Arial" w:hAnsi="Arial" w:cs="Arial"/>
        </w:rPr>
        <w:t xml:space="preserve">La question 3.220 est distincte de </w:t>
      </w:r>
      <w:r w:rsidR="004E04F4">
        <w:rPr>
          <w:rFonts w:ascii="Arial" w:hAnsi="Arial" w:cs="Arial"/>
        </w:rPr>
        <w:t xml:space="preserve">celle sur </w:t>
      </w:r>
      <w:r>
        <w:rPr>
          <w:rFonts w:ascii="Arial" w:hAnsi="Arial" w:cs="Arial"/>
        </w:rPr>
        <w:t xml:space="preserve">l’externalisation : </w:t>
      </w:r>
      <w:r w:rsidR="007F2D16">
        <w:rPr>
          <w:rFonts w:ascii="Arial" w:hAnsi="Arial" w:cs="Arial"/>
        </w:rPr>
        <w:t>elle porte sur le prestataire de services de paiement auquel le remettant a recours</w:t>
      </w:r>
      <w:r w:rsidR="001238BC">
        <w:rPr>
          <w:rFonts w:ascii="Arial" w:hAnsi="Arial" w:cs="Arial"/>
        </w:rPr>
        <w:t>.</w:t>
      </w:r>
      <w:r w:rsidR="007F2D16">
        <w:rPr>
          <w:rFonts w:ascii="Arial" w:hAnsi="Arial" w:cs="Arial"/>
        </w:rPr>
        <w:t xml:space="preserve"> Toutefois,</w:t>
      </w:r>
      <w:r w:rsidR="001238BC">
        <w:rPr>
          <w:rFonts w:ascii="Arial" w:hAnsi="Arial" w:cs="Arial"/>
        </w:rPr>
        <w:t xml:space="preserve"> </w:t>
      </w:r>
      <w:r w:rsidR="00AC44FA">
        <w:rPr>
          <w:rFonts w:ascii="Arial" w:hAnsi="Arial" w:cs="Arial"/>
        </w:rPr>
        <w:t>s</w:t>
      </w:r>
      <w:r w:rsidR="00A77386">
        <w:rPr>
          <w:rFonts w:ascii="Arial" w:hAnsi="Arial" w:cs="Arial"/>
        </w:rPr>
        <w:t xml:space="preserve">i </w:t>
      </w:r>
      <w:r w:rsidR="00AC44FA">
        <w:rPr>
          <w:rFonts w:ascii="Arial" w:hAnsi="Arial" w:cs="Arial"/>
        </w:rPr>
        <w:t>un prestataire de services de paiement fournit, outre les services de paiement, un service qui relève des</w:t>
      </w:r>
      <w:r w:rsidR="001238BC">
        <w:rPr>
          <w:rFonts w:ascii="Arial" w:hAnsi="Arial" w:cs="Arial"/>
        </w:rPr>
        <w:t xml:space="preserve"> obligations LCB-FT </w:t>
      </w:r>
      <w:r w:rsidR="00AC44FA">
        <w:rPr>
          <w:rFonts w:ascii="Arial" w:hAnsi="Arial" w:cs="Arial"/>
        </w:rPr>
        <w:t>du PSAN</w:t>
      </w:r>
      <w:r w:rsidR="00A77386">
        <w:rPr>
          <w:rFonts w:ascii="Arial" w:hAnsi="Arial" w:cs="Arial"/>
        </w:rPr>
        <w:t xml:space="preserve">, </w:t>
      </w:r>
      <w:r w:rsidR="00AC44FA">
        <w:rPr>
          <w:rFonts w:ascii="Arial" w:hAnsi="Arial" w:cs="Arial"/>
        </w:rPr>
        <w:t>il</w:t>
      </w:r>
      <w:r w:rsidR="00A77386">
        <w:rPr>
          <w:rFonts w:ascii="Arial" w:hAnsi="Arial" w:cs="Arial"/>
        </w:rPr>
        <w:t xml:space="preserve"> doit donc être mentionné à la fois </w:t>
      </w:r>
      <w:r w:rsidR="00AC44FA">
        <w:rPr>
          <w:rFonts w:ascii="Arial" w:hAnsi="Arial" w:cs="Arial"/>
        </w:rPr>
        <w:t>aux</w:t>
      </w:r>
      <w:r w:rsidR="00A77386">
        <w:rPr>
          <w:rFonts w:ascii="Arial" w:hAnsi="Arial" w:cs="Arial"/>
        </w:rPr>
        <w:t xml:space="preserve"> question</w:t>
      </w:r>
      <w:r w:rsidR="00AC44FA">
        <w:rPr>
          <w:rFonts w:ascii="Arial" w:hAnsi="Arial" w:cs="Arial"/>
        </w:rPr>
        <w:t>s</w:t>
      </w:r>
      <w:r w:rsidR="00A77386">
        <w:rPr>
          <w:rFonts w:ascii="Arial" w:hAnsi="Arial" w:cs="Arial"/>
        </w:rPr>
        <w:t xml:space="preserve"> 3.215 et</w:t>
      </w:r>
      <w:r w:rsidR="00AC44FA">
        <w:rPr>
          <w:rFonts w:ascii="Arial" w:hAnsi="Arial" w:cs="Arial"/>
        </w:rPr>
        <w:t xml:space="preserve"> 3.216 (relatives à l’externalisation) et</w:t>
      </w:r>
      <w:r w:rsidR="00A77386">
        <w:rPr>
          <w:rFonts w:ascii="Arial" w:hAnsi="Arial" w:cs="Arial"/>
        </w:rPr>
        <w:t xml:space="preserve"> à la question 3.220.</w:t>
      </w:r>
    </w:p>
    <w:p w14:paraId="2AFB22AE" w14:textId="136F4D31" w:rsidR="00CA7755" w:rsidRDefault="00CA7755" w:rsidP="00CA7755">
      <w:pPr>
        <w:autoSpaceDE w:val="0"/>
        <w:autoSpaceDN w:val="0"/>
        <w:adjustRightInd w:val="0"/>
        <w:rPr>
          <w:rFonts w:ascii="Arial" w:hAnsi="Arial" w:cs="Arial"/>
        </w:rPr>
      </w:pPr>
    </w:p>
    <w:p w14:paraId="2FF1009B" w14:textId="77777777" w:rsidR="00CA7755" w:rsidRDefault="00CA7755" w:rsidP="00CA7755">
      <w:pPr>
        <w:autoSpaceDE w:val="0"/>
        <w:autoSpaceDN w:val="0"/>
        <w:adjustRightInd w:val="0"/>
        <w:rPr>
          <w:rFonts w:ascii="Arial" w:hAnsi="Arial" w:cs="Arial"/>
        </w:rPr>
      </w:pPr>
    </w:p>
    <w:p w14:paraId="2DE6D035" w14:textId="6405AF13" w:rsidR="00E33796" w:rsidRPr="002576B5" w:rsidRDefault="00E33796" w:rsidP="00CA7755">
      <w:pPr>
        <w:autoSpaceDE w:val="0"/>
        <w:autoSpaceDN w:val="0"/>
        <w:adjustRightInd w:val="0"/>
        <w:rPr>
          <w:rFonts w:ascii="Arial" w:hAnsi="Arial" w:cs="Arial"/>
          <w:b/>
          <w:u w:val="single"/>
        </w:rPr>
      </w:pPr>
      <w:r w:rsidRPr="002576B5">
        <w:rPr>
          <w:rFonts w:ascii="Arial" w:hAnsi="Arial" w:cs="Arial"/>
          <w:b/>
          <w:u w:val="single"/>
        </w:rPr>
        <w:t>B4</w:t>
      </w:r>
      <w:r w:rsidR="00CA7755">
        <w:rPr>
          <w:rFonts w:ascii="Arial" w:hAnsi="Arial" w:cs="Arial"/>
          <w:b/>
          <w:u w:val="single"/>
        </w:rPr>
        <w:t xml:space="preserve"> </w:t>
      </w:r>
      <w:r w:rsidRPr="002576B5">
        <w:rPr>
          <w:rFonts w:ascii="Arial" w:hAnsi="Arial" w:cs="Arial"/>
          <w:b/>
          <w:u w:val="single"/>
        </w:rPr>
        <w:t>-</w:t>
      </w:r>
      <w:r w:rsidR="00CA7755">
        <w:rPr>
          <w:rFonts w:ascii="Arial" w:hAnsi="Arial" w:cs="Arial"/>
          <w:b/>
          <w:u w:val="single"/>
        </w:rPr>
        <w:t xml:space="preserve"> </w:t>
      </w:r>
      <w:r w:rsidRPr="002576B5">
        <w:rPr>
          <w:rFonts w:ascii="Arial" w:hAnsi="Arial" w:cs="Arial"/>
          <w:b/>
          <w:u w:val="single"/>
        </w:rPr>
        <w:t>Groupe et activités à l’étranger</w:t>
      </w:r>
    </w:p>
    <w:p w14:paraId="0ACE5ED8" w14:textId="77777777" w:rsidR="00ED1518" w:rsidRDefault="00ED1518" w:rsidP="00ED1518">
      <w:pPr>
        <w:autoSpaceDE w:val="0"/>
        <w:autoSpaceDN w:val="0"/>
        <w:adjustRightInd w:val="0"/>
        <w:spacing w:line="276" w:lineRule="auto"/>
        <w:rPr>
          <w:rFonts w:ascii="Arial" w:hAnsi="Arial" w:cs="Arial"/>
        </w:rPr>
      </w:pPr>
    </w:p>
    <w:p w14:paraId="2A1932ED" w14:textId="7BE636FD" w:rsidR="008F0DF6" w:rsidRDefault="0021772F" w:rsidP="00CA7755">
      <w:pPr>
        <w:autoSpaceDE w:val="0"/>
        <w:autoSpaceDN w:val="0"/>
        <w:adjustRightInd w:val="0"/>
        <w:rPr>
          <w:rFonts w:ascii="Arial" w:hAnsi="Arial" w:cs="Arial"/>
        </w:rPr>
      </w:pPr>
      <w:r>
        <w:rPr>
          <w:rFonts w:ascii="Arial" w:hAnsi="Arial" w:cs="Arial"/>
        </w:rPr>
        <w:t xml:space="preserve">La question 4.011 concerne l’organisme lui-même, c’est-à-dire la personne morale enregistrée comme PSAN en France, et couvre tous les enregistrements, agréments ou autorisations comme PSAN </w:t>
      </w:r>
      <w:r w:rsidR="008F0DF6">
        <w:rPr>
          <w:rFonts w:ascii="Arial" w:hAnsi="Arial" w:cs="Arial"/>
        </w:rPr>
        <w:t>ou institution financière</w:t>
      </w:r>
      <w:r>
        <w:rPr>
          <w:rFonts w:ascii="Arial" w:hAnsi="Arial" w:cs="Arial"/>
        </w:rPr>
        <w:t xml:space="preserve"> </w:t>
      </w:r>
      <w:r w:rsidR="008F0DF6">
        <w:rPr>
          <w:rFonts w:ascii="Arial" w:hAnsi="Arial" w:cs="Arial"/>
        </w:rPr>
        <w:t>obtenus par</w:t>
      </w:r>
      <w:r>
        <w:rPr>
          <w:rFonts w:ascii="Arial" w:hAnsi="Arial" w:cs="Arial"/>
        </w:rPr>
        <w:t xml:space="preserve"> cette personne morale et toute forme de ses interventions à l’étranger, qu’il s’agisse de succursales, d’autres formes d’établissement</w:t>
      </w:r>
      <w:r w:rsidR="008F0DF6">
        <w:rPr>
          <w:rFonts w:ascii="Arial" w:hAnsi="Arial" w:cs="Arial"/>
        </w:rPr>
        <w:t xml:space="preserve"> ou de prestation de services à distance, à l’exception des filiales (personnes morales distinctes)</w:t>
      </w:r>
      <w:r w:rsidR="00B745BC">
        <w:rPr>
          <w:rFonts w:ascii="Arial" w:hAnsi="Arial" w:cs="Arial"/>
        </w:rPr>
        <w:t>,</w:t>
      </w:r>
      <w:r w:rsidR="008F0DF6">
        <w:rPr>
          <w:rFonts w:ascii="Arial" w:hAnsi="Arial" w:cs="Arial"/>
        </w:rPr>
        <w:t xml:space="preserve"> qui sont couvertes par la question suivante.</w:t>
      </w:r>
    </w:p>
    <w:p w14:paraId="23C37941" w14:textId="77777777" w:rsidR="008F0DF6" w:rsidRDefault="008F0DF6" w:rsidP="00CA7755">
      <w:pPr>
        <w:autoSpaceDE w:val="0"/>
        <w:autoSpaceDN w:val="0"/>
        <w:adjustRightInd w:val="0"/>
        <w:rPr>
          <w:rFonts w:ascii="Arial" w:hAnsi="Arial" w:cs="Arial"/>
        </w:rPr>
      </w:pPr>
    </w:p>
    <w:p w14:paraId="1D0F6D36" w14:textId="292D07D5" w:rsidR="008F0DF6" w:rsidRDefault="008F0DF6" w:rsidP="00CA7755">
      <w:pPr>
        <w:autoSpaceDE w:val="0"/>
        <w:autoSpaceDN w:val="0"/>
        <w:adjustRightInd w:val="0"/>
        <w:rPr>
          <w:rFonts w:ascii="Arial" w:hAnsi="Arial" w:cs="Arial"/>
        </w:rPr>
      </w:pPr>
      <w:r>
        <w:rPr>
          <w:rFonts w:ascii="Arial" w:hAnsi="Arial" w:cs="Arial"/>
        </w:rPr>
        <w:t xml:space="preserve">La question 4.012 concerne toutes les entités faisant partie d’un même groupe que l’organisme, au sens de l’article </w:t>
      </w:r>
      <w:r w:rsidR="00F44621">
        <w:rPr>
          <w:rFonts w:ascii="Arial" w:hAnsi="Arial" w:cs="Arial"/>
        </w:rPr>
        <w:t>20 de l’arrêté du 6 janvier 2021</w:t>
      </w:r>
      <w:r w:rsidR="00786971">
        <w:rPr>
          <w:rFonts w:ascii="Arial" w:hAnsi="Arial" w:cs="Arial"/>
        </w:rPr>
        <w:t xml:space="preserve"> relatif au dispositif et au contrôle interne en matière de LCB-FT et de gel des avoirs</w:t>
      </w:r>
      <w:r>
        <w:rPr>
          <w:rFonts w:ascii="Arial" w:hAnsi="Arial" w:cs="Arial"/>
        </w:rPr>
        <w:t xml:space="preserve">. </w:t>
      </w:r>
    </w:p>
    <w:p w14:paraId="73DD65BD" w14:textId="77777777" w:rsidR="008F0DF6" w:rsidRDefault="008F0DF6" w:rsidP="00CA7755">
      <w:pPr>
        <w:autoSpaceDE w:val="0"/>
        <w:autoSpaceDN w:val="0"/>
        <w:adjustRightInd w:val="0"/>
        <w:rPr>
          <w:rFonts w:ascii="Arial" w:hAnsi="Arial" w:cs="Arial"/>
        </w:rPr>
      </w:pPr>
    </w:p>
    <w:p w14:paraId="0F94FB8C" w14:textId="317E2618" w:rsidR="00E33796" w:rsidRDefault="008F0DF6" w:rsidP="00CA7755">
      <w:pPr>
        <w:autoSpaceDE w:val="0"/>
        <w:autoSpaceDN w:val="0"/>
        <w:adjustRightInd w:val="0"/>
        <w:rPr>
          <w:rFonts w:ascii="Arial" w:hAnsi="Arial" w:cs="Arial"/>
        </w:rPr>
      </w:pPr>
      <w:r>
        <w:rPr>
          <w:rFonts w:ascii="Arial" w:hAnsi="Arial" w:cs="Arial"/>
        </w:rPr>
        <w:t>Pour l</w:t>
      </w:r>
      <w:r w:rsidR="00E33796">
        <w:rPr>
          <w:rFonts w:ascii="Arial" w:hAnsi="Arial" w:cs="Arial"/>
        </w:rPr>
        <w:t>es questions 4.011 et 4.012</w:t>
      </w:r>
      <w:r>
        <w:rPr>
          <w:rFonts w:ascii="Arial" w:hAnsi="Arial" w:cs="Arial"/>
        </w:rPr>
        <w:t>, les notions de « PSAN » et d</w:t>
      </w:r>
      <w:proofErr w:type="gramStart"/>
      <w:r>
        <w:rPr>
          <w:rFonts w:ascii="Arial" w:hAnsi="Arial" w:cs="Arial"/>
        </w:rPr>
        <w:t>’«</w:t>
      </w:r>
      <w:proofErr w:type="gramEnd"/>
      <w:r>
        <w:rPr>
          <w:rFonts w:ascii="Arial" w:hAnsi="Arial" w:cs="Arial"/>
        </w:rPr>
        <w:t> </w:t>
      </w:r>
      <w:r w:rsidR="0032697E">
        <w:rPr>
          <w:rFonts w:ascii="Arial" w:hAnsi="Arial" w:cs="Arial"/>
        </w:rPr>
        <w:t>institution</w:t>
      </w:r>
      <w:r>
        <w:rPr>
          <w:rFonts w:ascii="Arial" w:hAnsi="Arial" w:cs="Arial"/>
        </w:rPr>
        <w:t xml:space="preserve"> financi</w:t>
      </w:r>
      <w:r w:rsidR="0032697E">
        <w:rPr>
          <w:rFonts w:ascii="Arial" w:hAnsi="Arial" w:cs="Arial"/>
        </w:rPr>
        <w:t>è</w:t>
      </w:r>
      <w:r>
        <w:rPr>
          <w:rFonts w:ascii="Arial" w:hAnsi="Arial" w:cs="Arial"/>
        </w:rPr>
        <w:t>r</w:t>
      </w:r>
      <w:r w:rsidR="0032697E">
        <w:rPr>
          <w:rFonts w:ascii="Arial" w:hAnsi="Arial" w:cs="Arial"/>
        </w:rPr>
        <w:t>e</w:t>
      </w:r>
      <w:r>
        <w:rPr>
          <w:rFonts w:ascii="Arial" w:hAnsi="Arial" w:cs="Arial"/>
        </w:rPr>
        <w:t xml:space="preserve"> » couvrent </w:t>
      </w:r>
      <w:r w:rsidR="00A100BB">
        <w:rPr>
          <w:rFonts w:ascii="Arial" w:hAnsi="Arial" w:cs="Arial"/>
        </w:rPr>
        <w:t xml:space="preserve">respectivement </w:t>
      </w:r>
      <w:r>
        <w:rPr>
          <w:rFonts w:ascii="Arial" w:hAnsi="Arial" w:cs="Arial"/>
        </w:rPr>
        <w:t xml:space="preserve">toutes les catégories de droit étranger similaires aux </w:t>
      </w:r>
      <w:r w:rsidR="00A100BB">
        <w:rPr>
          <w:rFonts w:ascii="Arial" w:hAnsi="Arial" w:cs="Arial"/>
        </w:rPr>
        <w:t xml:space="preserve">PSAN soumis à la présente instruction et aux </w:t>
      </w:r>
      <w:r>
        <w:rPr>
          <w:rFonts w:ascii="Arial" w:hAnsi="Arial" w:cs="Arial"/>
        </w:rPr>
        <w:t xml:space="preserve">organismes visés aux </w:t>
      </w:r>
      <w:r w:rsidR="00A100BB">
        <w:rPr>
          <w:rFonts w:ascii="Arial" w:hAnsi="Arial" w:cs="Arial"/>
        </w:rPr>
        <w:t>points 1</w:t>
      </w:r>
      <w:r w:rsidR="00483865">
        <w:rPr>
          <w:rFonts w:ascii="Arial" w:hAnsi="Arial" w:cs="Arial"/>
        </w:rPr>
        <w:t>°</w:t>
      </w:r>
      <w:r w:rsidR="00A100BB">
        <w:rPr>
          <w:rFonts w:ascii="Arial" w:hAnsi="Arial" w:cs="Arial"/>
        </w:rPr>
        <w:t xml:space="preserve"> à 7</w:t>
      </w:r>
      <w:r w:rsidR="0032697E">
        <w:rPr>
          <w:rFonts w:ascii="Arial" w:hAnsi="Arial" w:cs="Arial"/>
        </w:rPr>
        <w:t>°</w:t>
      </w:r>
      <w:r w:rsidR="00A100BB">
        <w:rPr>
          <w:rFonts w:ascii="Arial" w:hAnsi="Arial" w:cs="Arial"/>
        </w:rPr>
        <w:t xml:space="preserve"> de l’article L. 56</w:t>
      </w:r>
      <w:r w:rsidR="0032697E">
        <w:rPr>
          <w:rFonts w:ascii="Arial" w:hAnsi="Arial" w:cs="Arial"/>
        </w:rPr>
        <w:t>1</w:t>
      </w:r>
      <w:r w:rsidR="00A100BB">
        <w:rPr>
          <w:rFonts w:ascii="Arial" w:hAnsi="Arial" w:cs="Arial"/>
        </w:rPr>
        <w:t>-</w:t>
      </w:r>
      <w:r w:rsidR="0032697E">
        <w:rPr>
          <w:rFonts w:ascii="Arial" w:hAnsi="Arial" w:cs="Arial"/>
        </w:rPr>
        <w:t>2</w:t>
      </w:r>
      <w:r w:rsidR="00A100BB">
        <w:rPr>
          <w:rFonts w:ascii="Arial" w:hAnsi="Arial" w:cs="Arial"/>
        </w:rPr>
        <w:t xml:space="preserve"> du Code monétaire et financier.</w:t>
      </w:r>
      <w:r w:rsidR="00E33796">
        <w:rPr>
          <w:rFonts w:ascii="Arial" w:hAnsi="Arial" w:cs="Arial"/>
        </w:rPr>
        <w:t xml:space="preserve"> </w:t>
      </w:r>
    </w:p>
    <w:p w14:paraId="6182F54F" w14:textId="77777777" w:rsidR="00E33796" w:rsidRDefault="00E33796" w:rsidP="00CA7755">
      <w:pPr>
        <w:autoSpaceDE w:val="0"/>
        <w:autoSpaceDN w:val="0"/>
        <w:adjustRightInd w:val="0"/>
        <w:rPr>
          <w:rFonts w:ascii="Arial" w:hAnsi="Arial" w:cs="Arial"/>
        </w:rPr>
      </w:pPr>
    </w:p>
    <w:p w14:paraId="7809D487" w14:textId="77777777" w:rsidR="00ED1518" w:rsidRDefault="00ED1518" w:rsidP="00CA7755">
      <w:pPr>
        <w:autoSpaceDE w:val="0"/>
        <w:autoSpaceDN w:val="0"/>
        <w:adjustRightInd w:val="0"/>
        <w:rPr>
          <w:rFonts w:ascii="Arial" w:hAnsi="Arial" w:cs="Arial"/>
        </w:rPr>
      </w:pPr>
    </w:p>
    <w:p w14:paraId="2C2B3069" w14:textId="049307B6" w:rsidR="00ED1518" w:rsidRPr="002576B5" w:rsidRDefault="00ED1518" w:rsidP="00ED1518">
      <w:pPr>
        <w:autoSpaceDE w:val="0"/>
        <w:autoSpaceDN w:val="0"/>
        <w:adjustRightInd w:val="0"/>
        <w:spacing w:line="276" w:lineRule="auto"/>
        <w:rPr>
          <w:rFonts w:ascii="Arial" w:hAnsi="Arial" w:cs="Arial"/>
          <w:b/>
          <w:u w:val="single"/>
        </w:rPr>
      </w:pPr>
      <w:r w:rsidRPr="002576B5">
        <w:rPr>
          <w:rFonts w:ascii="Arial" w:hAnsi="Arial" w:cs="Arial"/>
          <w:b/>
          <w:u w:val="single"/>
        </w:rPr>
        <w:t>B</w:t>
      </w:r>
      <w:r w:rsidR="00D31B41" w:rsidRPr="002576B5">
        <w:rPr>
          <w:rFonts w:ascii="Arial" w:hAnsi="Arial" w:cs="Arial"/>
          <w:b/>
          <w:u w:val="single"/>
        </w:rPr>
        <w:t>5</w:t>
      </w:r>
      <w:r w:rsidR="00483865">
        <w:rPr>
          <w:rFonts w:ascii="Arial" w:hAnsi="Arial" w:cs="Arial"/>
          <w:b/>
          <w:u w:val="single"/>
        </w:rPr>
        <w:t xml:space="preserve"> </w:t>
      </w:r>
      <w:r w:rsidR="00D31B41" w:rsidRPr="002576B5">
        <w:rPr>
          <w:rFonts w:ascii="Arial" w:hAnsi="Arial" w:cs="Arial"/>
          <w:b/>
          <w:u w:val="single"/>
        </w:rPr>
        <w:t>-</w:t>
      </w:r>
      <w:r w:rsidRPr="002576B5">
        <w:rPr>
          <w:rFonts w:ascii="Arial" w:hAnsi="Arial" w:cs="Arial"/>
          <w:b/>
          <w:u w:val="single"/>
        </w:rPr>
        <w:t xml:space="preserve"> Mesures de vigilance applicables aux clients en relation d’affaires</w:t>
      </w:r>
    </w:p>
    <w:p w14:paraId="0FECFF3E" w14:textId="77777777" w:rsidR="00ED1518" w:rsidRDefault="00ED1518" w:rsidP="00ED1518">
      <w:pPr>
        <w:autoSpaceDE w:val="0"/>
        <w:autoSpaceDN w:val="0"/>
        <w:adjustRightInd w:val="0"/>
        <w:spacing w:line="276" w:lineRule="auto"/>
        <w:rPr>
          <w:rFonts w:ascii="Arial" w:hAnsi="Arial" w:cs="Arial"/>
          <w:u w:val="single"/>
        </w:rPr>
      </w:pPr>
    </w:p>
    <w:p w14:paraId="1208B1DC" w14:textId="77777777" w:rsidR="00C60EE1" w:rsidRDefault="00C60EE1" w:rsidP="00ED1518">
      <w:pPr>
        <w:autoSpaceDE w:val="0"/>
        <w:autoSpaceDN w:val="0"/>
        <w:adjustRightInd w:val="0"/>
        <w:spacing w:line="276" w:lineRule="auto"/>
        <w:rPr>
          <w:rFonts w:ascii="Arial" w:hAnsi="Arial" w:cs="Arial"/>
          <w:u w:val="single"/>
        </w:rPr>
      </w:pPr>
      <w:r>
        <w:rPr>
          <w:rFonts w:ascii="Arial" w:hAnsi="Arial" w:cs="Arial"/>
          <w:u w:val="single"/>
        </w:rPr>
        <w:t>Identification et vérification d’identité</w:t>
      </w:r>
    </w:p>
    <w:p w14:paraId="729C1192" w14:textId="77777777" w:rsidR="00C60EE1" w:rsidRDefault="00C60EE1" w:rsidP="00483865">
      <w:pPr>
        <w:autoSpaceDE w:val="0"/>
        <w:autoSpaceDN w:val="0"/>
        <w:adjustRightInd w:val="0"/>
        <w:rPr>
          <w:rFonts w:ascii="Arial" w:hAnsi="Arial" w:cs="Arial"/>
          <w:u w:val="single"/>
        </w:rPr>
      </w:pPr>
    </w:p>
    <w:p w14:paraId="685B0745" w14:textId="2B617967" w:rsidR="00C60EE1" w:rsidRPr="00C60EE1" w:rsidRDefault="00C60EE1" w:rsidP="00483865">
      <w:pPr>
        <w:autoSpaceDE w:val="0"/>
        <w:autoSpaceDN w:val="0"/>
        <w:adjustRightInd w:val="0"/>
        <w:rPr>
          <w:rFonts w:ascii="Arial" w:hAnsi="Arial" w:cs="Arial"/>
        </w:rPr>
      </w:pPr>
      <w:r w:rsidRPr="00C60EE1">
        <w:rPr>
          <w:rFonts w:ascii="Arial" w:hAnsi="Arial" w:cs="Arial"/>
        </w:rPr>
        <w:t xml:space="preserve">Le bénéficiaire effectif est défini à l’article L. 561-2-2 du </w:t>
      </w:r>
      <w:r w:rsidR="00483865">
        <w:rPr>
          <w:rFonts w:ascii="Arial" w:hAnsi="Arial" w:cs="Arial"/>
        </w:rPr>
        <w:t>C</w:t>
      </w:r>
      <w:r w:rsidRPr="00C60EE1">
        <w:rPr>
          <w:rFonts w:ascii="Arial" w:hAnsi="Arial" w:cs="Arial"/>
        </w:rPr>
        <w:t xml:space="preserve">ode monétaire et financier. Il s’agit d’une ou plusieurs personnes physiques. </w:t>
      </w:r>
      <w:r w:rsidR="00786971">
        <w:rPr>
          <w:rFonts w:ascii="Arial" w:hAnsi="Arial" w:cs="Arial"/>
        </w:rPr>
        <w:t xml:space="preserve">Les organismes assujettis sont invités à se référer aux lignes directrices </w:t>
      </w:r>
      <w:r w:rsidR="00A3245B">
        <w:rPr>
          <w:rFonts w:ascii="Arial" w:hAnsi="Arial" w:cs="Arial"/>
        </w:rPr>
        <w:t xml:space="preserve">de l’ACPR relatives à l’identification, la vérification d’identité et la connaissance de la clientèle. </w:t>
      </w:r>
    </w:p>
    <w:p w14:paraId="0732DE60" w14:textId="77777777" w:rsidR="00C60EE1" w:rsidRDefault="00C60EE1" w:rsidP="00ED1518">
      <w:pPr>
        <w:autoSpaceDE w:val="0"/>
        <w:autoSpaceDN w:val="0"/>
        <w:adjustRightInd w:val="0"/>
        <w:spacing w:line="276" w:lineRule="auto"/>
        <w:rPr>
          <w:rFonts w:ascii="Arial" w:hAnsi="Arial" w:cs="Arial"/>
          <w:u w:val="single"/>
        </w:rPr>
      </w:pPr>
    </w:p>
    <w:p w14:paraId="00C283C1" w14:textId="67854259" w:rsidR="00ED1518" w:rsidRDefault="00ED1518" w:rsidP="00ED1518">
      <w:pPr>
        <w:autoSpaceDE w:val="0"/>
        <w:autoSpaceDN w:val="0"/>
        <w:adjustRightInd w:val="0"/>
        <w:spacing w:line="276" w:lineRule="auto"/>
        <w:rPr>
          <w:rFonts w:ascii="Arial" w:hAnsi="Arial" w:cs="Arial"/>
          <w:u w:val="single"/>
        </w:rPr>
      </w:pPr>
      <w:r>
        <w:rPr>
          <w:rFonts w:ascii="Arial" w:hAnsi="Arial" w:cs="Arial"/>
          <w:u w:val="single"/>
        </w:rPr>
        <w:t xml:space="preserve">Mesures de vigilance </w:t>
      </w:r>
    </w:p>
    <w:p w14:paraId="414528F4" w14:textId="71502E47" w:rsidR="00ED1518" w:rsidRDefault="00ED1518" w:rsidP="00ED1518">
      <w:pPr>
        <w:autoSpaceDE w:val="0"/>
        <w:autoSpaceDN w:val="0"/>
        <w:adjustRightInd w:val="0"/>
        <w:spacing w:line="276" w:lineRule="auto"/>
        <w:rPr>
          <w:rFonts w:ascii="Arial" w:hAnsi="Arial" w:cs="Arial"/>
        </w:rPr>
      </w:pPr>
    </w:p>
    <w:p w14:paraId="4084FE57" w14:textId="77777777" w:rsidR="00CE6222" w:rsidRPr="00CE6222" w:rsidRDefault="00CE6222" w:rsidP="00CE6222">
      <w:pPr>
        <w:autoSpaceDE w:val="0"/>
        <w:autoSpaceDN w:val="0"/>
        <w:adjustRightInd w:val="0"/>
        <w:spacing w:line="276" w:lineRule="auto"/>
        <w:rPr>
          <w:rFonts w:ascii="Arial" w:hAnsi="Arial" w:cs="Arial"/>
        </w:rPr>
      </w:pPr>
      <w:r w:rsidRPr="00CE6222">
        <w:rPr>
          <w:rFonts w:ascii="Arial" w:hAnsi="Arial" w:cs="Arial"/>
        </w:rPr>
        <w:t>Les questions portent notamment sur :</w:t>
      </w:r>
    </w:p>
    <w:p w14:paraId="431AF948" w14:textId="77777777" w:rsidR="00CE6222" w:rsidRPr="00CE6222" w:rsidRDefault="00CE6222" w:rsidP="00CE6222">
      <w:pPr>
        <w:autoSpaceDE w:val="0"/>
        <w:autoSpaceDN w:val="0"/>
        <w:adjustRightInd w:val="0"/>
        <w:spacing w:line="276" w:lineRule="auto"/>
        <w:rPr>
          <w:rFonts w:ascii="Arial" w:hAnsi="Arial" w:cs="Arial"/>
        </w:rPr>
      </w:pPr>
    </w:p>
    <w:p w14:paraId="7CDA15EB" w14:textId="2D9E9BD2" w:rsidR="00CE6222" w:rsidRPr="00CE6222" w:rsidRDefault="00310A88" w:rsidP="00483865">
      <w:pPr>
        <w:autoSpaceDE w:val="0"/>
        <w:autoSpaceDN w:val="0"/>
        <w:adjustRightInd w:val="0"/>
        <w:rPr>
          <w:rFonts w:ascii="Arial" w:hAnsi="Arial" w:cs="Arial"/>
        </w:rPr>
      </w:pPr>
      <w:r>
        <w:rPr>
          <w:rFonts w:ascii="Arial" w:hAnsi="Arial" w:cs="Arial"/>
        </w:rPr>
        <w:t>1</w:t>
      </w:r>
      <w:r w:rsidR="00CE6222" w:rsidRPr="00CE6222">
        <w:rPr>
          <w:rFonts w:ascii="Arial" w:hAnsi="Arial" w:cs="Arial"/>
        </w:rPr>
        <w:t>°) l’élaboration du profil de la relation d’affaires</w:t>
      </w:r>
      <w:r w:rsidR="00CE6222" w:rsidRPr="00CE6222">
        <w:rPr>
          <w:rFonts w:ascii="Arial" w:hAnsi="Arial" w:cs="Arial"/>
          <w:vertAlign w:val="superscript"/>
        </w:rPr>
        <w:footnoteReference w:id="2"/>
      </w:r>
      <w:r w:rsidR="00CE6222" w:rsidRPr="00CE6222">
        <w:rPr>
          <w:rFonts w:ascii="Arial" w:hAnsi="Arial" w:cs="Arial"/>
        </w:rPr>
        <w:t xml:space="preserve"> (cf. article L. 561-32 du </w:t>
      </w:r>
      <w:r w:rsidR="00483865">
        <w:rPr>
          <w:rFonts w:ascii="Arial" w:hAnsi="Arial" w:cs="Arial"/>
        </w:rPr>
        <w:t>C</w:t>
      </w:r>
      <w:r w:rsidR="00483865" w:rsidRPr="00C60EE1">
        <w:rPr>
          <w:rFonts w:ascii="Arial" w:hAnsi="Arial" w:cs="Arial"/>
        </w:rPr>
        <w:t>ode monétaire et financier</w:t>
      </w:r>
      <w:r w:rsidR="00CE6222" w:rsidRPr="00CE6222">
        <w:rPr>
          <w:rFonts w:ascii="Arial" w:hAnsi="Arial" w:cs="Arial"/>
        </w:rPr>
        <w:t xml:space="preserve">) : </w:t>
      </w:r>
      <w:r w:rsidR="00483865">
        <w:rPr>
          <w:rFonts w:ascii="Arial" w:hAnsi="Arial" w:cs="Arial"/>
        </w:rPr>
        <w:t>l</w:t>
      </w:r>
      <w:r w:rsidR="00CE6222" w:rsidRPr="00CE6222">
        <w:rPr>
          <w:rFonts w:ascii="Arial" w:hAnsi="Arial" w:cs="Arial"/>
        </w:rPr>
        <w:t xml:space="preserve">a question 5.040 porte sur l’évaluation individualisée du niveau de risque de chaque relation d’affaires. L’organisme financier peut néanmoins établir un profil « standard » pour un ensemble de relations d’affaires présentant des caractéristiques similaires lorsque celles-ci ne présentent qu’un faible risque </w:t>
      </w:r>
      <w:r w:rsidR="008B1484">
        <w:rPr>
          <w:rFonts w:ascii="Arial" w:hAnsi="Arial" w:cs="Arial"/>
        </w:rPr>
        <w:t xml:space="preserve">de </w:t>
      </w:r>
      <w:r w:rsidR="00CE6222" w:rsidRPr="00CE6222">
        <w:rPr>
          <w:rFonts w:ascii="Arial" w:hAnsi="Arial" w:cs="Arial"/>
        </w:rPr>
        <w:t>BC-FT.</w:t>
      </w:r>
    </w:p>
    <w:p w14:paraId="5587E59C" w14:textId="77777777" w:rsidR="00CE6222" w:rsidRPr="00CE6222" w:rsidRDefault="00CE6222" w:rsidP="00483865">
      <w:pPr>
        <w:autoSpaceDE w:val="0"/>
        <w:autoSpaceDN w:val="0"/>
        <w:adjustRightInd w:val="0"/>
        <w:rPr>
          <w:rFonts w:ascii="Arial" w:hAnsi="Arial" w:cs="Arial"/>
        </w:rPr>
      </w:pPr>
    </w:p>
    <w:p w14:paraId="59807AA5" w14:textId="05A3F7DB" w:rsidR="00CE6222" w:rsidRPr="00CE6222" w:rsidRDefault="00310A88" w:rsidP="00483865">
      <w:pPr>
        <w:autoSpaceDE w:val="0"/>
        <w:autoSpaceDN w:val="0"/>
        <w:adjustRightInd w:val="0"/>
        <w:rPr>
          <w:rFonts w:ascii="Arial" w:hAnsi="Arial" w:cs="Arial"/>
        </w:rPr>
      </w:pPr>
      <w:r>
        <w:rPr>
          <w:rFonts w:ascii="Arial" w:hAnsi="Arial" w:cs="Arial"/>
        </w:rPr>
        <w:t>2</w:t>
      </w:r>
      <w:r w:rsidR="00CE6222" w:rsidRPr="00CE6222">
        <w:rPr>
          <w:rFonts w:ascii="Arial" w:hAnsi="Arial" w:cs="Arial"/>
        </w:rPr>
        <w:t>°) les diligences mises en œuvre à l’égard des relations d’affaires classées à risque élevé (questions 5.050, 5.060, 5.070, 5.090</w:t>
      </w:r>
      <w:r w:rsidR="008B1484">
        <w:rPr>
          <w:rFonts w:ascii="Arial" w:hAnsi="Arial" w:cs="Arial"/>
        </w:rPr>
        <w:t xml:space="preserve"> </w:t>
      </w:r>
      <w:r w:rsidR="00CE6222" w:rsidRPr="00CE6222">
        <w:rPr>
          <w:rFonts w:ascii="Arial" w:hAnsi="Arial" w:cs="Arial"/>
        </w:rPr>
        <w:t>à 5.120),</w:t>
      </w:r>
      <w:r w:rsidR="00483865">
        <w:rPr>
          <w:rFonts w:ascii="Arial" w:hAnsi="Arial" w:cs="Arial"/>
        </w:rPr>
        <w:t xml:space="preserve"> </w:t>
      </w:r>
      <w:r w:rsidR="00CE6222" w:rsidRPr="00CE6222">
        <w:rPr>
          <w:rFonts w:ascii="Arial" w:hAnsi="Arial" w:cs="Arial"/>
        </w:rPr>
        <w:t xml:space="preserve">soit par l’organisme lui-même au regard de sa classification des risques, soit par le législateur en application de l’article L. 561-10 du </w:t>
      </w:r>
      <w:r w:rsidR="00483865">
        <w:rPr>
          <w:rFonts w:ascii="Arial" w:hAnsi="Arial" w:cs="Arial"/>
        </w:rPr>
        <w:t>C</w:t>
      </w:r>
      <w:r w:rsidR="00483865" w:rsidRPr="00C60EE1">
        <w:rPr>
          <w:rFonts w:ascii="Arial" w:hAnsi="Arial" w:cs="Arial"/>
        </w:rPr>
        <w:t>ode monétaire et financier</w:t>
      </w:r>
      <w:r w:rsidR="00CE6222" w:rsidRPr="00CE6222">
        <w:rPr>
          <w:rFonts w:ascii="Arial" w:hAnsi="Arial" w:cs="Arial"/>
        </w:rPr>
        <w:t xml:space="preserve">, soit suite à une désignation par Tracfin au titre des dispositions de l’article L. 561-26 du </w:t>
      </w:r>
      <w:r w:rsidR="00483865">
        <w:rPr>
          <w:rFonts w:ascii="Arial" w:hAnsi="Arial" w:cs="Arial"/>
        </w:rPr>
        <w:t>C</w:t>
      </w:r>
      <w:r w:rsidR="00483865" w:rsidRPr="00C60EE1">
        <w:rPr>
          <w:rFonts w:ascii="Arial" w:hAnsi="Arial" w:cs="Arial"/>
        </w:rPr>
        <w:t>ode monétaire et financier</w:t>
      </w:r>
      <w:r w:rsidR="00CE6222" w:rsidRPr="00CE6222">
        <w:rPr>
          <w:rFonts w:ascii="Arial" w:hAnsi="Arial" w:cs="Arial"/>
        </w:rPr>
        <w:t>.</w:t>
      </w:r>
    </w:p>
    <w:p w14:paraId="2C0C5D72" w14:textId="7FE408CC" w:rsidR="00CE6222" w:rsidRDefault="00CE6222" w:rsidP="00483865">
      <w:pPr>
        <w:autoSpaceDE w:val="0"/>
        <w:autoSpaceDN w:val="0"/>
        <w:adjustRightInd w:val="0"/>
        <w:rPr>
          <w:rFonts w:ascii="Arial" w:hAnsi="Arial" w:cs="Arial"/>
        </w:rPr>
      </w:pPr>
    </w:p>
    <w:p w14:paraId="1540E812" w14:textId="223DCE8E" w:rsidR="00ED1518" w:rsidRDefault="00ED1518" w:rsidP="00483865">
      <w:pPr>
        <w:autoSpaceDE w:val="0"/>
        <w:autoSpaceDN w:val="0"/>
        <w:adjustRightInd w:val="0"/>
        <w:rPr>
          <w:rFonts w:ascii="Arial" w:hAnsi="Arial" w:cs="Arial"/>
        </w:rPr>
      </w:pPr>
      <w:r>
        <w:rPr>
          <w:rFonts w:ascii="Arial" w:hAnsi="Arial" w:cs="Arial"/>
        </w:rPr>
        <w:t>L</w:t>
      </w:r>
      <w:r w:rsidR="004946DB">
        <w:rPr>
          <w:rFonts w:ascii="Arial" w:hAnsi="Arial" w:cs="Arial"/>
        </w:rPr>
        <w:t>es</w:t>
      </w:r>
      <w:r>
        <w:rPr>
          <w:rFonts w:ascii="Arial" w:hAnsi="Arial" w:cs="Arial"/>
        </w:rPr>
        <w:t xml:space="preserve"> question</w:t>
      </w:r>
      <w:r w:rsidR="004946DB">
        <w:rPr>
          <w:rFonts w:ascii="Arial" w:hAnsi="Arial" w:cs="Arial"/>
        </w:rPr>
        <w:t>s</w:t>
      </w:r>
      <w:r>
        <w:rPr>
          <w:rFonts w:ascii="Arial" w:hAnsi="Arial" w:cs="Arial"/>
        </w:rPr>
        <w:t xml:space="preserve"> </w:t>
      </w:r>
      <w:r w:rsidR="004946DB">
        <w:rPr>
          <w:rFonts w:ascii="Arial" w:hAnsi="Arial" w:cs="Arial"/>
        </w:rPr>
        <w:t>5.050 et 5.060</w:t>
      </w:r>
      <w:r>
        <w:rPr>
          <w:rFonts w:ascii="Arial" w:hAnsi="Arial" w:cs="Arial"/>
        </w:rPr>
        <w:t xml:space="preserve"> porte</w:t>
      </w:r>
      <w:r w:rsidR="004946DB">
        <w:rPr>
          <w:rFonts w:ascii="Arial" w:hAnsi="Arial" w:cs="Arial"/>
        </w:rPr>
        <w:t>nt</w:t>
      </w:r>
      <w:r>
        <w:rPr>
          <w:rFonts w:ascii="Arial" w:hAnsi="Arial" w:cs="Arial"/>
        </w:rPr>
        <w:t xml:space="preserve"> sur la détection, par l’organisme, des personnes politiquement exposées (PPE) lors de l’entrée en relation d’affaires et tout au long de celle-ci. </w:t>
      </w:r>
    </w:p>
    <w:p w14:paraId="7613A7CB" w14:textId="77777777" w:rsidR="00ED1518" w:rsidRDefault="00ED1518" w:rsidP="00483865">
      <w:pPr>
        <w:autoSpaceDE w:val="0"/>
        <w:autoSpaceDN w:val="0"/>
        <w:adjustRightInd w:val="0"/>
        <w:rPr>
          <w:rFonts w:ascii="Arial" w:hAnsi="Arial" w:cs="Arial"/>
        </w:rPr>
      </w:pPr>
    </w:p>
    <w:p w14:paraId="6B692163" w14:textId="77777777" w:rsidR="00ED1518" w:rsidRDefault="00ED1518" w:rsidP="00483865">
      <w:pPr>
        <w:autoSpaceDE w:val="0"/>
        <w:autoSpaceDN w:val="0"/>
        <w:adjustRightInd w:val="0"/>
        <w:rPr>
          <w:rFonts w:ascii="Arial" w:hAnsi="Arial" w:cs="Arial"/>
          <w:u w:val="single"/>
        </w:rPr>
      </w:pPr>
      <w:r>
        <w:rPr>
          <w:rFonts w:ascii="Arial" w:hAnsi="Arial" w:cs="Arial"/>
          <w:u w:val="single"/>
        </w:rPr>
        <w:t>Mesures de vigilance renforcées à l’égard des relations d’affaires</w:t>
      </w:r>
    </w:p>
    <w:p w14:paraId="3B32B964" w14:textId="77777777" w:rsidR="00ED1518" w:rsidRDefault="00ED1518" w:rsidP="00483865">
      <w:pPr>
        <w:autoSpaceDE w:val="0"/>
        <w:autoSpaceDN w:val="0"/>
        <w:adjustRightInd w:val="0"/>
        <w:rPr>
          <w:rFonts w:ascii="Arial" w:hAnsi="Arial" w:cs="Arial"/>
        </w:rPr>
      </w:pPr>
    </w:p>
    <w:p w14:paraId="23FF16DC" w14:textId="6DA4FC78" w:rsidR="00ED1518" w:rsidRDefault="00ED1518" w:rsidP="00483865">
      <w:pPr>
        <w:autoSpaceDE w:val="0"/>
        <w:autoSpaceDN w:val="0"/>
        <w:adjustRightInd w:val="0"/>
        <w:rPr>
          <w:rFonts w:ascii="Arial" w:hAnsi="Arial" w:cs="Arial"/>
        </w:rPr>
      </w:pPr>
      <w:r>
        <w:rPr>
          <w:rFonts w:ascii="Arial" w:hAnsi="Arial" w:cs="Arial"/>
        </w:rPr>
        <w:t xml:space="preserve">Les questions </w:t>
      </w:r>
      <w:r w:rsidR="00F0609A">
        <w:rPr>
          <w:rFonts w:ascii="Arial" w:hAnsi="Arial" w:cs="Arial"/>
        </w:rPr>
        <w:t>5</w:t>
      </w:r>
      <w:r>
        <w:rPr>
          <w:rFonts w:ascii="Arial" w:hAnsi="Arial" w:cs="Arial"/>
        </w:rPr>
        <w:t>.1</w:t>
      </w:r>
      <w:r w:rsidR="00F0609A">
        <w:rPr>
          <w:rFonts w:ascii="Arial" w:hAnsi="Arial" w:cs="Arial"/>
        </w:rPr>
        <w:t>1</w:t>
      </w:r>
      <w:r>
        <w:rPr>
          <w:rFonts w:ascii="Arial" w:hAnsi="Arial" w:cs="Arial"/>
        </w:rPr>
        <w:t>0 et</w:t>
      </w:r>
      <w:r w:rsidR="00F0609A">
        <w:rPr>
          <w:rFonts w:ascii="Arial" w:hAnsi="Arial" w:cs="Arial"/>
        </w:rPr>
        <w:t xml:space="preserve"> 5.12</w:t>
      </w:r>
      <w:r>
        <w:rPr>
          <w:rFonts w:ascii="Arial" w:hAnsi="Arial" w:cs="Arial"/>
        </w:rPr>
        <w:t xml:space="preserve">0 visent les diligences mises en œuvre par l’organisme en cas de désignation par Tracfin, dans les conditions de l’article L. 561-26 du Code monétaire et financier, d’un client ou d’une opération présentant un risque élevé. </w:t>
      </w:r>
    </w:p>
    <w:p w14:paraId="0C1CAE1F" w14:textId="77777777" w:rsidR="00ED1518" w:rsidRDefault="00ED1518" w:rsidP="00483865">
      <w:pPr>
        <w:autoSpaceDE w:val="0"/>
        <w:autoSpaceDN w:val="0"/>
        <w:adjustRightInd w:val="0"/>
        <w:rPr>
          <w:rFonts w:ascii="Arial" w:hAnsi="Arial" w:cs="Arial"/>
          <w:lang w:eastAsia="fr-FR"/>
        </w:rPr>
      </w:pPr>
    </w:p>
    <w:p w14:paraId="72F7246F" w14:textId="23C4416A" w:rsidR="00F146B1" w:rsidRDefault="00483865" w:rsidP="00483865">
      <w:pPr>
        <w:autoSpaceDE w:val="0"/>
        <w:autoSpaceDN w:val="0"/>
        <w:adjustRightInd w:val="0"/>
        <w:rPr>
          <w:rFonts w:ascii="Arial" w:hAnsi="Arial" w:cs="Arial"/>
          <w:lang w:eastAsia="fr-FR"/>
        </w:rPr>
      </w:pPr>
      <w:r>
        <w:rPr>
          <w:rFonts w:ascii="Arial" w:hAnsi="Arial" w:cs="Arial"/>
          <w:lang w:eastAsia="fr-FR"/>
        </w:rPr>
        <w:t>L</w:t>
      </w:r>
      <w:r w:rsidR="00FC48CD" w:rsidRPr="00FC48CD">
        <w:rPr>
          <w:rFonts w:ascii="Arial" w:hAnsi="Arial" w:cs="Arial"/>
          <w:lang w:eastAsia="fr-FR"/>
        </w:rPr>
        <w:t xml:space="preserve">a question 5.130 traite </w:t>
      </w:r>
      <w:r w:rsidR="00FC48CD">
        <w:rPr>
          <w:rFonts w:ascii="Arial" w:hAnsi="Arial" w:cs="Arial"/>
          <w:lang w:eastAsia="fr-FR"/>
        </w:rPr>
        <w:t xml:space="preserve">uniquement </w:t>
      </w:r>
      <w:r w:rsidR="00FC48CD" w:rsidRPr="00FC48CD">
        <w:rPr>
          <w:rFonts w:ascii="Arial" w:hAnsi="Arial" w:cs="Arial"/>
          <w:lang w:eastAsia="fr-FR"/>
        </w:rPr>
        <w:t xml:space="preserve">des dispositifs de détection autres que les outils d’analyse transactionnelle de la </w:t>
      </w:r>
      <w:proofErr w:type="spellStart"/>
      <w:r w:rsidR="00FC48CD" w:rsidRPr="00FC48CD">
        <w:rPr>
          <w:rFonts w:ascii="Arial" w:hAnsi="Arial" w:cs="Arial"/>
          <w:lang w:eastAsia="fr-FR"/>
        </w:rPr>
        <w:t>blockchain</w:t>
      </w:r>
      <w:proofErr w:type="spellEnd"/>
      <w:r w:rsidR="00FC48CD">
        <w:rPr>
          <w:rFonts w:ascii="Arial" w:hAnsi="Arial" w:cs="Arial"/>
          <w:lang w:eastAsia="fr-FR"/>
        </w:rPr>
        <w:t xml:space="preserve">. Ces derniers sont en effet couverts </w:t>
      </w:r>
      <w:r w:rsidR="00474BD5">
        <w:rPr>
          <w:rFonts w:ascii="Arial" w:hAnsi="Arial" w:cs="Arial"/>
          <w:lang w:eastAsia="fr-FR"/>
        </w:rPr>
        <w:t>par les</w:t>
      </w:r>
      <w:r w:rsidR="00FC48CD">
        <w:rPr>
          <w:rFonts w:ascii="Arial" w:hAnsi="Arial" w:cs="Arial"/>
          <w:lang w:eastAsia="fr-FR"/>
        </w:rPr>
        <w:t xml:space="preserve"> questions 7.</w:t>
      </w:r>
      <w:r w:rsidR="0058286E">
        <w:rPr>
          <w:rFonts w:ascii="Arial" w:hAnsi="Arial" w:cs="Arial"/>
          <w:lang w:eastAsia="fr-FR"/>
        </w:rPr>
        <w:t>5</w:t>
      </w:r>
      <w:r w:rsidR="00FC48CD">
        <w:rPr>
          <w:rFonts w:ascii="Arial" w:hAnsi="Arial" w:cs="Arial"/>
          <w:lang w:eastAsia="fr-FR"/>
        </w:rPr>
        <w:t>60 et suivantes.</w:t>
      </w:r>
      <w:r w:rsidR="00F146B1">
        <w:rPr>
          <w:rFonts w:ascii="Arial" w:hAnsi="Arial" w:cs="Arial"/>
          <w:lang w:eastAsia="fr-FR"/>
        </w:rPr>
        <w:t xml:space="preserve"> </w:t>
      </w:r>
    </w:p>
    <w:p w14:paraId="2CF40FAE" w14:textId="77777777" w:rsidR="00F146B1" w:rsidRDefault="00F146B1" w:rsidP="00483865">
      <w:pPr>
        <w:autoSpaceDE w:val="0"/>
        <w:autoSpaceDN w:val="0"/>
        <w:adjustRightInd w:val="0"/>
        <w:rPr>
          <w:rFonts w:ascii="Arial" w:hAnsi="Arial" w:cs="Arial"/>
          <w:lang w:eastAsia="fr-FR"/>
        </w:rPr>
      </w:pPr>
    </w:p>
    <w:p w14:paraId="08BF2D7D" w14:textId="5B2F469B" w:rsidR="00F146B1" w:rsidRPr="00F146B1" w:rsidRDefault="00F146B1" w:rsidP="00483865">
      <w:pPr>
        <w:autoSpaceDE w:val="0"/>
        <w:autoSpaceDN w:val="0"/>
        <w:adjustRightInd w:val="0"/>
        <w:rPr>
          <w:rFonts w:ascii="Arial" w:hAnsi="Arial" w:cs="Arial"/>
          <w:lang w:eastAsia="fr-FR"/>
        </w:rPr>
      </w:pPr>
      <w:r>
        <w:rPr>
          <w:rFonts w:ascii="Arial" w:hAnsi="Arial" w:cs="Arial"/>
          <w:lang w:eastAsia="fr-FR"/>
        </w:rPr>
        <w:t xml:space="preserve">Concernant le </w:t>
      </w:r>
      <w:r w:rsidRPr="00F146B1">
        <w:rPr>
          <w:rFonts w:ascii="Arial" w:hAnsi="Arial" w:cs="Arial"/>
          <w:lang w:eastAsia="fr-FR"/>
        </w:rPr>
        <w:t>dispositif de surveillance et d’analyse des opér</w:t>
      </w:r>
      <w:r>
        <w:rPr>
          <w:rFonts w:ascii="Arial" w:hAnsi="Arial" w:cs="Arial"/>
          <w:lang w:eastAsia="fr-FR"/>
        </w:rPr>
        <w:t>ations et relations d’affaires,</w:t>
      </w:r>
      <w:r w:rsidRPr="00F146B1">
        <w:rPr>
          <w:rFonts w:ascii="Arial" w:hAnsi="Arial" w:cs="Arial"/>
          <w:lang w:eastAsia="fr-FR"/>
        </w:rPr>
        <w:t xml:space="preserve"> les questions 5.130 et 5.140 interrogent sur la détection des opérations atypiques ou suspectes, leur analyse, la conduite de l’examen renforcé par l’organisme financier. S’agissant de la </w:t>
      </w:r>
      <w:r w:rsidRPr="00F146B1">
        <w:rPr>
          <w:rFonts w:ascii="Arial" w:hAnsi="Arial" w:cs="Arial"/>
          <w:lang w:eastAsia="fr-FR"/>
        </w:rPr>
        <w:lastRenderedPageBreak/>
        <w:t>question 5.140, le ou les justificatif(s) consigné(s) figure(nt) dans le dossier d’examen renforcé, ou à tout le moins leurs références sont mentionnées dans le dossier d’examen renforcé. Dans cette dernière hypothèse, les justificatifs sont aisément disponibles et accessibles à tout moment. La question 5.130 vise tout type d’outil automatisé, qu’il soit interne à l’organisme financier ou externalisé en cas de recours à un prestataire technique.</w:t>
      </w:r>
    </w:p>
    <w:p w14:paraId="2940D347" w14:textId="77777777" w:rsidR="00F146B1" w:rsidRPr="00F146B1" w:rsidRDefault="00F146B1" w:rsidP="00483865">
      <w:pPr>
        <w:autoSpaceDE w:val="0"/>
        <w:autoSpaceDN w:val="0"/>
        <w:adjustRightInd w:val="0"/>
        <w:rPr>
          <w:rFonts w:ascii="Arial" w:hAnsi="Arial" w:cs="Arial"/>
          <w:lang w:eastAsia="fr-FR"/>
        </w:rPr>
      </w:pPr>
    </w:p>
    <w:p w14:paraId="36F60D7B" w14:textId="1CD1B016" w:rsidR="00F146B1" w:rsidRDefault="00BC7A74" w:rsidP="00483865">
      <w:pPr>
        <w:autoSpaceDE w:val="0"/>
        <w:autoSpaceDN w:val="0"/>
        <w:adjustRightInd w:val="0"/>
        <w:rPr>
          <w:rFonts w:ascii="Arial" w:hAnsi="Arial" w:cs="Arial"/>
          <w:lang w:eastAsia="fr-FR"/>
        </w:rPr>
      </w:pPr>
      <w:r>
        <w:rPr>
          <w:rFonts w:ascii="Arial" w:hAnsi="Arial" w:cs="Arial"/>
          <w:lang w:eastAsia="fr-FR"/>
        </w:rPr>
        <w:t xml:space="preserve">Concernant </w:t>
      </w:r>
      <w:r w:rsidR="00F146B1" w:rsidRPr="00F146B1">
        <w:rPr>
          <w:rFonts w:ascii="Arial" w:hAnsi="Arial" w:cs="Arial"/>
          <w:lang w:eastAsia="fr-FR"/>
        </w:rPr>
        <w:t>la mise en œuvre des obligations déclaratives (déclarations de soupçon à Tracfin) par les organismes</w:t>
      </w:r>
      <w:r w:rsidR="00483865">
        <w:rPr>
          <w:rFonts w:ascii="Arial" w:hAnsi="Arial" w:cs="Arial"/>
          <w:lang w:eastAsia="fr-FR"/>
        </w:rPr>
        <w:t xml:space="preserve"> </w:t>
      </w:r>
      <w:r w:rsidR="00F146B1" w:rsidRPr="00F146B1">
        <w:rPr>
          <w:rFonts w:ascii="Arial" w:hAnsi="Arial" w:cs="Arial"/>
          <w:lang w:eastAsia="fr-FR"/>
        </w:rPr>
        <w:t>(questions 5.150 à 5.2</w:t>
      </w:r>
      <w:r w:rsidR="0058286E">
        <w:rPr>
          <w:rFonts w:ascii="Arial" w:hAnsi="Arial" w:cs="Arial"/>
          <w:lang w:eastAsia="fr-FR"/>
        </w:rPr>
        <w:t>00</w:t>
      </w:r>
      <w:r w:rsidR="00F146B1" w:rsidRPr="00F146B1">
        <w:rPr>
          <w:rFonts w:ascii="Arial" w:hAnsi="Arial" w:cs="Arial"/>
          <w:lang w:eastAsia="fr-FR"/>
        </w:rPr>
        <w:t xml:space="preserve">). Pour répondre à ces questions, les organismes sont invités à consulter les </w:t>
      </w:r>
      <w:hyperlink r:id="rId8" w:history="1">
        <w:r w:rsidR="00F146B1" w:rsidRPr="00F146B1">
          <w:rPr>
            <w:rStyle w:val="Lienhypertexte"/>
            <w:rFonts w:ascii="Arial" w:hAnsi="Arial" w:cs="Arial"/>
            <w:lang w:eastAsia="fr-FR"/>
          </w:rPr>
          <w:t>Lignes directrices conjointes de l’ACPR et de Tracfin sur les obligations de déclaration et d’information à Tracfin.</w:t>
        </w:r>
      </w:hyperlink>
      <w:r w:rsidR="00F146B1" w:rsidRPr="00F146B1">
        <w:rPr>
          <w:rFonts w:ascii="Arial" w:hAnsi="Arial" w:cs="Arial"/>
          <w:lang w:eastAsia="fr-FR"/>
        </w:rPr>
        <w:t xml:space="preserve"> </w:t>
      </w:r>
    </w:p>
    <w:p w14:paraId="4B12B203" w14:textId="4B2B3A5D" w:rsidR="0058286E" w:rsidRDefault="0058286E" w:rsidP="00483865">
      <w:pPr>
        <w:autoSpaceDE w:val="0"/>
        <w:autoSpaceDN w:val="0"/>
        <w:adjustRightInd w:val="0"/>
        <w:rPr>
          <w:rFonts w:ascii="Arial" w:hAnsi="Arial" w:cs="Arial"/>
          <w:lang w:eastAsia="fr-FR"/>
        </w:rPr>
      </w:pPr>
    </w:p>
    <w:p w14:paraId="546AE537" w14:textId="287F4597" w:rsidR="0058286E" w:rsidRPr="00F146B1" w:rsidRDefault="0058286E" w:rsidP="00483865">
      <w:pPr>
        <w:autoSpaceDE w:val="0"/>
        <w:autoSpaceDN w:val="0"/>
        <w:adjustRightInd w:val="0"/>
        <w:rPr>
          <w:rFonts w:ascii="Arial" w:hAnsi="Arial" w:cs="Arial"/>
          <w:lang w:eastAsia="fr-FR"/>
        </w:rPr>
      </w:pPr>
      <w:r>
        <w:rPr>
          <w:rFonts w:ascii="Arial" w:hAnsi="Arial" w:cs="Arial"/>
          <w:lang w:eastAsia="fr-FR"/>
        </w:rPr>
        <w:t xml:space="preserve">La question 5.210 appelle la réponse « non applicable » si l’établissement considère toute sa clientèle comme étant en relation d’affaires. </w:t>
      </w:r>
    </w:p>
    <w:p w14:paraId="43509794" w14:textId="176A884D" w:rsidR="00ED1518" w:rsidRDefault="00ED1518" w:rsidP="00483865">
      <w:pPr>
        <w:autoSpaceDE w:val="0"/>
        <w:autoSpaceDN w:val="0"/>
        <w:adjustRightInd w:val="0"/>
        <w:rPr>
          <w:rFonts w:ascii="Arial" w:hAnsi="Arial" w:cs="Arial"/>
          <w:lang w:eastAsia="fr-FR"/>
        </w:rPr>
      </w:pPr>
    </w:p>
    <w:p w14:paraId="05D3EB13" w14:textId="77777777" w:rsidR="00ED1518" w:rsidRDefault="00ED1518" w:rsidP="00483865">
      <w:pPr>
        <w:autoSpaceDE w:val="0"/>
        <w:autoSpaceDN w:val="0"/>
        <w:adjustRightInd w:val="0"/>
        <w:rPr>
          <w:rFonts w:ascii="Arial" w:hAnsi="Arial" w:cs="Arial"/>
          <w:lang w:eastAsia="fr-FR"/>
        </w:rPr>
      </w:pPr>
    </w:p>
    <w:p w14:paraId="2DEDF75E" w14:textId="21A82CDB" w:rsidR="00ED1518" w:rsidRDefault="00ED1518" w:rsidP="00483865">
      <w:pPr>
        <w:autoSpaceDE w:val="0"/>
        <w:autoSpaceDN w:val="0"/>
        <w:adjustRightInd w:val="0"/>
        <w:rPr>
          <w:rFonts w:ascii="Arial" w:hAnsi="Arial" w:cs="Arial"/>
          <w:b/>
          <w:u w:val="single"/>
          <w:lang w:eastAsia="fr-FR"/>
        </w:rPr>
      </w:pPr>
      <w:r>
        <w:rPr>
          <w:rFonts w:ascii="Arial" w:hAnsi="Arial" w:cs="Arial"/>
          <w:b/>
          <w:u w:val="single"/>
          <w:lang w:eastAsia="fr-FR"/>
        </w:rPr>
        <w:t>B6</w:t>
      </w:r>
      <w:r w:rsidR="00483865">
        <w:rPr>
          <w:rFonts w:ascii="Arial" w:hAnsi="Arial" w:cs="Arial"/>
          <w:b/>
          <w:u w:val="single"/>
          <w:lang w:eastAsia="fr-FR"/>
        </w:rPr>
        <w:t xml:space="preserve"> </w:t>
      </w:r>
      <w:r>
        <w:rPr>
          <w:rFonts w:ascii="Arial" w:hAnsi="Arial" w:cs="Arial"/>
          <w:b/>
          <w:u w:val="single"/>
          <w:lang w:eastAsia="fr-FR"/>
        </w:rPr>
        <w:t>- Gel des avoirs et mesures restrictives</w:t>
      </w:r>
    </w:p>
    <w:p w14:paraId="1D37A538" w14:textId="634F8902" w:rsidR="00ED1518" w:rsidRDefault="00ED1518" w:rsidP="00483865">
      <w:pPr>
        <w:autoSpaceDE w:val="0"/>
        <w:autoSpaceDN w:val="0"/>
        <w:adjustRightInd w:val="0"/>
        <w:rPr>
          <w:rFonts w:ascii="Arial" w:hAnsi="Arial" w:cs="Arial"/>
          <w:lang w:eastAsia="fr-FR"/>
        </w:rPr>
      </w:pPr>
    </w:p>
    <w:p w14:paraId="7E0D49AA" w14:textId="3C35ED59" w:rsidR="00E606A9" w:rsidRDefault="00E606A9" w:rsidP="00483865">
      <w:pPr>
        <w:autoSpaceDE w:val="0"/>
        <w:autoSpaceDN w:val="0"/>
        <w:adjustRightInd w:val="0"/>
        <w:rPr>
          <w:rFonts w:ascii="Arial" w:hAnsi="Arial" w:cs="Arial"/>
          <w:lang w:eastAsia="fr-FR"/>
        </w:rPr>
      </w:pPr>
      <w:r w:rsidRPr="00E606A9">
        <w:rPr>
          <w:rFonts w:ascii="Arial" w:hAnsi="Arial" w:cs="Arial"/>
          <w:lang w:eastAsia="fr-FR"/>
        </w:rPr>
        <w:t xml:space="preserve">Pour répondre à ces questions, l’ACPR invite les organismes financiers à consulter les </w:t>
      </w:r>
      <w:hyperlink r:id="rId9" w:history="1">
        <w:r w:rsidRPr="00E606A9">
          <w:rPr>
            <w:rStyle w:val="Lienhypertexte"/>
            <w:rFonts w:ascii="Arial" w:hAnsi="Arial" w:cs="Arial"/>
            <w:lang w:eastAsia="fr-FR"/>
          </w:rPr>
          <w:t>Lignes directrices conjointes ACPR-</w:t>
        </w:r>
        <w:proofErr w:type="spellStart"/>
        <w:r w:rsidRPr="00E606A9">
          <w:rPr>
            <w:rStyle w:val="Lienhypertexte"/>
            <w:rFonts w:ascii="Arial" w:hAnsi="Arial" w:cs="Arial"/>
            <w:lang w:eastAsia="fr-FR"/>
          </w:rPr>
          <w:t>DGTrésor</w:t>
        </w:r>
        <w:proofErr w:type="spellEnd"/>
        <w:r w:rsidRPr="00E606A9">
          <w:rPr>
            <w:rStyle w:val="Lienhypertexte"/>
            <w:rFonts w:ascii="Arial" w:hAnsi="Arial" w:cs="Arial"/>
            <w:lang w:eastAsia="fr-FR"/>
          </w:rPr>
          <w:t xml:space="preserve"> sur la mise en œuvre des mesures de gel des avoirs</w:t>
        </w:r>
      </w:hyperlink>
      <w:r w:rsidRPr="00E606A9">
        <w:rPr>
          <w:rFonts w:ascii="Arial" w:hAnsi="Arial" w:cs="Arial"/>
          <w:lang w:eastAsia="fr-FR"/>
        </w:rPr>
        <w:t xml:space="preserve">, notamment sur la définition de l’appartenance, la détention, la possession, ou le contrôle des fonds ou ressources économiques gelés. </w:t>
      </w:r>
    </w:p>
    <w:p w14:paraId="50FB8645" w14:textId="77777777" w:rsidR="00E606A9" w:rsidRDefault="00E606A9" w:rsidP="00483865">
      <w:pPr>
        <w:autoSpaceDE w:val="0"/>
        <w:autoSpaceDN w:val="0"/>
        <w:adjustRightInd w:val="0"/>
        <w:rPr>
          <w:rFonts w:ascii="Arial" w:hAnsi="Arial" w:cs="Arial"/>
          <w:lang w:eastAsia="fr-FR"/>
        </w:rPr>
      </w:pPr>
    </w:p>
    <w:p w14:paraId="6F6ACE29" w14:textId="7A4C51F6" w:rsidR="00E606A9" w:rsidRPr="00E606A9" w:rsidRDefault="00E606A9" w:rsidP="00483865">
      <w:pPr>
        <w:autoSpaceDE w:val="0"/>
        <w:autoSpaceDN w:val="0"/>
        <w:adjustRightInd w:val="0"/>
        <w:rPr>
          <w:rFonts w:ascii="Arial" w:hAnsi="Arial" w:cs="Arial"/>
          <w:lang w:eastAsia="fr-FR"/>
        </w:rPr>
      </w:pPr>
      <w:r w:rsidRPr="00E606A9">
        <w:rPr>
          <w:rFonts w:ascii="Arial" w:hAnsi="Arial" w:cs="Arial"/>
          <w:lang w:eastAsia="fr-FR"/>
        </w:rPr>
        <w:t>Les questions 6.010 à 6.040 portent sur le dispositif de détection des personnes ou entités faisant l’objet de mesures de gel ou des flux en provenance ou à destination de ces personnes (cf. question 6.030). La question 6.040 vise particulièrement la détection, dans les bases clientèle, notamment du mandataire, du représentant légal d’une personne morale, et le cas échéant, du bénéficiaire effectif. En ce qui concerne la notion « dès l’entrée en vigueur d’une mesure nationale ou européenne de gel des avoirs » (questions 6.010 à 6.040), lorsque les dispositifs de filtrage reposent sur l’utilisation de listes électroniques, les opérations d’actualisation et de chargement des listes doivent être engagées le jour de la publication de la liste mise à jour</w:t>
      </w:r>
      <w:r w:rsidRPr="00E606A9">
        <w:rPr>
          <w:rFonts w:ascii="Arial" w:hAnsi="Arial" w:cs="Arial"/>
          <w:vertAlign w:val="superscript"/>
          <w:lang w:eastAsia="fr-FR"/>
        </w:rPr>
        <w:footnoteReference w:id="3"/>
      </w:r>
      <w:r w:rsidRPr="00E606A9">
        <w:rPr>
          <w:rFonts w:ascii="Arial" w:hAnsi="Arial" w:cs="Arial"/>
          <w:lang w:eastAsia="fr-FR"/>
        </w:rPr>
        <w:t>.</w:t>
      </w:r>
      <w:r w:rsidR="001C77C6">
        <w:rPr>
          <w:rFonts w:ascii="Arial" w:hAnsi="Arial" w:cs="Arial"/>
          <w:lang w:eastAsia="fr-FR"/>
        </w:rPr>
        <w:t xml:space="preserve"> La question 6.050 porte sur la détection des fonds ou ressources économiques mis directement ou indirectement à disposition d’une personne ou d’une entité faisant l’objet d’une mesure de gel. </w:t>
      </w:r>
    </w:p>
    <w:p w14:paraId="7D47FE12" w14:textId="08941A09" w:rsidR="00E606A9" w:rsidRDefault="00E606A9" w:rsidP="00483865">
      <w:pPr>
        <w:autoSpaceDE w:val="0"/>
        <w:autoSpaceDN w:val="0"/>
        <w:adjustRightInd w:val="0"/>
        <w:rPr>
          <w:rFonts w:ascii="Arial" w:hAnsi="Arial" w:cs="Arial"/>
          <w:lang w:eastAsia="fr-FR"/>
        </w:rPr>
      </w:pPr>
    </w:p>
    <w:p w14:paraId="13E843B3" w14:textId="2960D7E6" w:rsidR="00ED1518" w:rsidRDefault="00ED1518" w:rsidP="00483865">
      <w:pPr>
        <w:autoSpaceDE w:val="0"/>
        <w:autoSpaceDN w:val="0"/>
        <w:adjustRightInd w:val="0"/>
        <w:rPr>
          <w:rFonts w:ascii="Arial" w:hAnsi="Arial" w:cs="Arial"/>
          <w:lang w:eastAsia="fr-FR"/>
        </w:rPr>
      </w:pPr>
      <w:r>
        <w:rPr>
          <w:rFonts w:ascii="Arial" w:hAnsi="Arial" w:cs="Arial"/>
          <w:lang w:eastAsia="fr-FR"/>
        </w:rPr>
        <w:t>L’article L.562-4 du Code monétaire et financier prévoit que les organismes qui détiennent ou reçoivent des fonds ou des ressources économiques pour le compte d'une personne ou entité faisant l’objet d’une mesure de gel sont tenus d'en informer immédiatement la direction générale</w:t>
      </w:r>
      <w:r w:rsidR="00667211">
        <w:rPr>
          <w:rFonts w:ascii="Arial" w:hAnsi="Arial" w:cs="Arial"/>
          <w:lang w:eastAsia="fr-FR"/>
        </w:rPr>
        <w:t xml:space="preserve"> du Trésor (question 6.12</w:t>
      </w:r>
      <w:r>
        <w:rPr>
          <w:rFonts w:ascii="Arial" w:hAnsi="Arial" w:cs="Arial"/>
          <w:lang w:eastAsia="fr-FR"/>
        </w:rPr>
        <w:t>0).</w:t>
      </w:r>
    </w:p>
    <w:p w14:paraId="5079F5C7" w14:textId="6AE07C09" w:rsidR="00ED1518" w:rsidRDefault="00ED1518" w:rsidP="00483865">
      <w:pPr>
        <w:autoSpaceDE w:val="0"/>
        <w:autoSpaceDN w:val="0"/>
        <w:adjustRightInd w:val="0"/>
        <w:rPr>
          <w:rFonts w:ascii="Arial" w:hAnsi="Arial" w:cs="Arial"/>
          <w:lang w:eastAsia="fr-FR"/>
        </w:rPr>
      </w:pPr>
    </w:p>
    <w:p w14:paraId="71D6C5A1" w14:textId="77777777" w:rsidR="00667211" w:rsidRDefault="00667211" w:rsidP="00483865">
      <w:pPr>
        <w:autoSpaceDE w:val="0"/>
        <w:autoSpaceDN w:val="0"/>
        <w:adjustRightInd w:val="0"/>
        <w:rPr>
          <w:rFonts w:ascii="Arial" w:hAnsi="Arial" w:cs="Arial"/>
          <w:b/>
          <w:u w:val="single"/>
          <w:lang w:eastAsia="fr-FR"/>
        </w:rPr>
      </w:pPr>
    </w:p>
    <w:p w14:paraId="5768B8BC" w14:textId="07ACDA87" w:rsidR="00667211" w:rsidRDefault="00667211" w:rsidP="00483865">
      <w:pPr>
        <w:autoSpaceDE w:val="0"/>
        <w:autoSpaceDN w:val="0"/>
        <w:adjustRightInd w:val="0"/>
        <w:rPr>
          <w:rFonts w:ascii="Arial" w:hAnsi="Arial" w:cs="Arial"/>
          <w:b/>
          <w:u w:val="single"/>
          <w:lang w:eastAsia="fr-FR"/>
        </w:rPr>
      </w:pPr>
      <w:r>
        <w:rPr>
          <w:rFonts w:ascii="Arial" w:hAnsi="Arial" w:cs="Arial"/>
          <w:b/>
          <w:u w:val="single"/>
          <w:lang w:eastAsia="fr-FR"/>
        </w:rPr>
        <w:t>B7</w:t>
      </w:r>
      <w:r w:rsidR="00483865">
        <w:rPr>
          <w:rFonts w:ascii="Arial" w:hAnsi="Arial" w:cs="Arial"/>
          <w:b/>
          <w:u w:val="single"/>
          <w:lang w:eastAsia="fr-FR"/>
        </w:rPr>
        <w:t xml:space="preserve"> </w:t>
      </w:r>
      <w:r>
        <w:rPr>
          <w:rFonts w:ascii="Arial" w:hAnsi="Arial" w:cs="Arial"/>
          <w:b/>
          <w:u w:val="single"/>
          <w:lang w:eastAsia="fr-FR"/>
        </w:rPr>
        <w:t>- Activités sur actifs numériques</w:t>
      </w:r>
    </w:p>
    <w:p w14:paraId="6783D8E4" w14:textId="77777777" w:rsidR="00667211" w:rsidRDefault="00667211" w:rsidP="00483865">
      <w:pPr>
        <w:autoSpaceDE w:val="0"/>
        <w:autoSpaceDN w:val="0"/>
        <w:adjustRightInd w:val="0"/>
        <w:rPr>
          <w:rFonts w:ascii="Arial" w:hAnsi="Arial" w:cs="Arial"/>
          <w:b/>
          <w:u w:val="single"/>
          <w:lang w:eastAsia="fr-FR"/>
        </w:rPr>
      </w:pPr>
    </w:p>
    <w:p w14:paraId="48247F70" w14:textId="58A9EDF1" w:rsidR="00667211" w:rsidRDefault="00667211" w:rsidP="00483865">
      <w:pPr>
        <w:autoSpaceDE w:val="0"/>
        <w:autoSpaceDN w:val="0"/>
        <w:adjustRightInd w:val="0"/>
        <w:rPr>
          <w:rFonts w:ascii="Arial" w:hAnsi="Arial" w:cs="Arial"/>
          <w:lang w:eastAsia="fr-FR"/>
        </w:rPr>
      </w:pPr>
      <w:r w:rsidRPr="00667211">
        <w:rPr>
          <w:rFonts w:ascii="Arial" w:hAnsi="Arial" w:cs="Arial"/>
          <w:lang w:eastAsia="fr-FR"/>
        </w:rPr>
        <w:t xml:space="preserve">La question </w:t>
      </w:r>
      <w:r>
        <w:rPr>
          <w:rFonts w:ascii="Arial" w:hAnsi="Arial" w:cs="Arial"/>
          <w:lang w:eastAsia="fr-FR"/>
        </w:rPr>
        <w:t xml:space="preserve">7.510 relative au nombre de clients actifs </w:t>
      </w:r>
      <w:r w:rsidR="009214EE">
        <w:rPr>
          <w:rFonts w:ascii="Arial" w:hAnsi="Arial" w:cs="Arial"/>
          <w:lang w:eastAsia="fr-FR"/>
        </w:rPr>
        <w:t>n’</w:t>
      </w:r>
      <w:r>
        <w:rPr>
          <w:rFonts w:ascii="Arial" w:hAnsi="Arial" w:cs="Arial"/>
          <w:lang w:eastAsia="fr-FR"/>
        </w:rPr>
        <w:t xml:space="preserve">inclut </w:t>
      </w:r>
      <w:r w:rsidR="009214EE">
        <w:rPr>
          <w:rFonts w:ascii="Arial" w:hAnsi="Arial" w:cs="Arial"/>
          <w:lang w:eastAsia="fr-FR"/>
        </w:rPr>
        <w:t xml:space="preserve">pas </w:t>
      </w:r>
      <w:r>
        <w:rPr>
          <w:rFonts w:ascii="Arial" w:hAnsi="Arial" w:cs="Arial"/>
          <w:lang w:eastAsia="fr-FR"/>
        </w:rPr>
        <w:t>les clients possédant des comptes de conservation au sein de l’organisme</w:t>
      </w:r>
      <w:r w:rsidR="009214EE">
        <w:rPr>
          <w:rFonts w:ascii="Arial" w:hAnsi="Arial" w:cs="Arial"/>
          <w:lang w:eastAsia="fr-FR"/>
        </w:rPr>
        <w:t xml:space="preserve"> et n’ayant pas effectué d’o</w:t>
      </w:r>
      <w:r w:rsidR="000A0C5C">
        <w:rPr>
          <w:rFonts w:ascii="Arial" w:hAnsi="Arial" w:cs="Arial"/>
          <w:lang w:eastAsia="fr-FR"/>
        </w:rPr>
        <w:t>pérations. Cependant, dans ce cas</w:t>
      </w:r>
      <w:r w:rsidR="009214EE">
        <w:rPr>
          <w:rFonts w:ascii="Arial" w:hAnsi="Arial" w:cs="Arial"/>
          <w:lang w:eastAsia="fr-FR"/>
        </w:rPr>
        <w:t>, le nombre de ces clients doit être précisé en commentaires</w:t>
      </w:r>
      <w:r>
        <w:rPr>
          <w:rFonts w:ascii="Arial" w:hAnsi="Arial" w:cs="Arial"/>
          <w:lang w:eastAsia="fr-FR"/>
        </w:rPr>
        <w:t>.</w:t>
      </w:r>
    </w:p>
    <w:p w14:paraId="3AEA42D0" w14:textId="53C2069C" w:rsidR="000A0C5C" w:rsidRDefault="000A0C5C" w:rsidP="00483865">
      <w:pPr>
        <w:autoSpaceDE w:val="0"/>
        <w:autoSpaceDN w:val="0"/>
        <w:adjustRightInd w:val="0"/>
        <w:rPr>
          <w:rFonts w:ascii="Arial" w:hAnsi="Arial" w:cs="Arial"/>
          <w:lang w:eastAsia="fr-FR"/>
        </w:rPr>
      </w:pPr>
    </w:p>
    <w:p w14:paraId="558470AD" w14:textId="67D18BA5" w:rsidR="000A0C5C" w:rsidRDefault="000A0C5C" w:rsidP="00483865">
      <w:pPr>
        <w:autoSpaceDE w:val="0"/>
        <w:autoSpaceDN w:val="0"/>
        <w:adjustRightInd w:val="0"/>
        <w:rPr>
          <w:rFonts w:ascii="Arial" w:hAnsi="Arial" w:cs="Arial"/>
          <w:lang w:eastAsia="fr-FR"/>
        </w:rPr>
      </w:pPr>
      <w:r>
        <w:rPr>
          <w:rFonts w:ascii="Arial" w:hAnsi="Arial" w:cs="Arial"/>
          <w:lang w:eastAsia="fr-FR"/>
        </w:rPr>
        <w:t xml:space="preserve">Aux questions 7.515, 7.520, 7.525, 7.530, 7.540 et 7.545, en l’absence de vérification de l’adresse de résidence, le PSAN peut déduire le pays de résidence d’un faisceau d’indices (adresse déclarée, adresse de connexion IP, indicatif téléphonique d’un numéro de contact, domiciliation bancaire, </w:t>
      </w:r>
      <w:r w:rsidR="00483865">
        <w:rPr>
          <w:rFonts w:ascii="Arial" w:hAnsi="Arial" w:cs="Arial"/>
          <w:lang w:eastAsia="fr-FR"/>
        </w:rPr>
        <w:t>etc.</w:t>
      </w:r>
      <w:r>
        <w:rPr>
          <w:rFonts w:ascii="Arial" w:hAnsi="Arial" w:cs="Arial"/>
          <w:lang w:eastAsia="fr-FR"/>
        </w:rPr>
        <w:t>)</w:t>
      </w:r>
      <w:r w:rsidR="00483865">
        <w:rPr>
          <w:rFonts w:ascii="Arial" w:hAnsi="Arial" w:cs="Arial"/>
          <w:lang w:eastAsia="fr-FR"/>
        </w:rPr>
        <w:t>.</w:t>
      </w:r>
    </w:p>
    <w:p w14:paraId="79556EF9" w14:textId="77777777" w:rsidR="009214EE" w:rsidRDefault="009214EE" w:rsidP="00483865">
      <w:pPr>
        <w:autoSpaceDE w:val="0"/>
        <w:autoSpaceDN w:val="0"/>
        <w:adjustRightInd w:val="0"/>
        <w:rPr>
          <w:rFonts w:ascii="Arial" w:hAnsi="Arial" w:cs="Arial"/>
          <w:lang w:eastAsia="fr-FR"/>
        </w:rPr>
      </w:pPr>
    </w:p>
    <w:p w14:paraId="3B39D902" w14:textId="346DF216" w:rsidR="001F4AE8" w:rsidRDefault="001F4AE8" w:rsidP="00483865">
      <w:pPr>
        <w:autoSpaceDE w:val="0"/>
        <w:autoSpaceDN w:val="0"/>
        <w:adjustRightInd w:val="0"/>
        <w:rPr>
          <w:rFonts w:ascii="Arial" w:hAnsi="Arial" w:cs="Arial"/>
          <w:lang w:eastAsia="fr-FR"/>
        </w:rPr>
      </w:pPr>
      <w:r>
        <w:rPr>
          <w:rFonts w:ascii="Arial" w:hAnsi="Arial" w:cs="Arial"/>
          <w:lang w:eastAsia="fr-FR"/>
        </w:rPr>
        <w:t>La question 7.</w:t>
      </w:r>
      <w:r w:rsidR="00374BFE">
        <w:rPr>
          <w:rFonts w:ascii="Arial" w:hAnsi="Arial" w:cs="Arial"/>
          <w:lang w:eastAsia="fr-FR"/>
        </w:rPr>
        <w:t>5</w:t>
      </w:r>
      <w:r>
        <w:rPr>
          <w:rFonts w:ascii="Arial" w:hAnsi="Arial" w:cs="Arial"/>
          <w:lang w:eastAsia="fr-FR"/>
        </w:rPr>
        <w:t xml:space="preserve">55 relative aux actifs numériques à anonymat renforcé inclut tous les actifs numériques pour lesquels l’organisme n’est pas en mesure de retracer l’historique des </w:t>
      </w:r>
      <w:r>
        <w:rPr>
          <w:rFonts w:ascii="Arial" w:hAnsi="Arial" w:cs="Arial"/>
          <w:lang w:eastAsia="fr-FR"/>
        </w:rPr>
        <w:lastRenderedPageBreak/>
        <w:t xml:space="preserve">transactions via un outil d’analyse transactionnelle de la </w:t>
      </w:r>
      <w:proofErr w:type="spellStart"/>
      <w:r>
        <w:rPr>
          <w:rFonts w:ascii="Arial" w:hAnsi="Arial" w:cs="Arial"/>
          <w:lang w:eastAsia="fr-FR"/>
        </w:rPr>
        <w:t>blockchain</w:t>
      </w:r>
      <w:proofErr w:type="spellEnd"/>
      <w:r>
        <w:rPr>
          <w:rFonts w:ascii="Arial" w:hAnsi="Arial" w:cs="Arial"/>
          <w:lang w:eastAsia="fr-FR"/>
        </w:rPr>
        <w:t xml:space="preserve"> ou via les données publiques d’un registre </w:t>
      </w:r>
      <w:proofErr w:type="spellStart"/>
      <w:r>
        <w:rPr>
          <w:rFonts w:ascii="Arial" w:hAnsi="Arial" w:cs="Arial"/>
          <w:lang w:eastAsia="fr-FR"/>
        </w:rPr>
        <w:t>blockchain</w:t>
      </w:r>
      <w:proofErr w:type="spellEnd"/>
      <w:r>
        <w:rPr>
          <w:rFonts w:ascii="Arial" w:hAnsi="Arial" w:cs="Arial"/>
          <w:lang w:eastAsia="fr-FR"/>
        </w:rPr>
        <w:t xml:space="preserve">. </w:t>
      </w:r>
    </w:p>
    <w:p w14:paraId="3546FC17" w14:textId="77777777" w:rsidR="00667211" w:rsidRDefault="00667211" w:rsidP="00483865">
      <w:pPr>
        <w:autoSpaceDE w:val="0"/>
        <w:autoSpaceDN w:val="0"/>
        <w:adjustRightInd w:val="0"/>
        <w:rPr>
          <w:rFonts w:ascii="Arial" w:hAnsi="Arial" w:cs="Arial"/>
          <w:lang w:eastAsia="fr-FR"/>
        </w:rPr>
      </w:pPr>
    </w:p>
    <w:p w14:paraId="7F41DA70" w14:textId="2680AF42" w:rsidR="00667211" w:rsidRPr="00667211" w:rsidRDefault="006B1181" w:rsidP="00483865">
      <w:pPr>
        <w:autoSpaceDE w:val="0"/>
        <w:autoSpaceDN w:val="0"/>
        <w:adjustRightInd w:val="0"/>
        <w:rPr>
          <w:rFonts w:ascii="Arial" w:hAnsi="Arial" w:cs="Arial"/>
          <w:lang w:eastAsia="fr-FR"/>
        </w:rPr>
      </w:pPr>
      <w:r w:rsidRPr="006B1181">
        <w:rPr>
          <w:rFonts w:ascii="Arial" w:hAnsi="Arial" w:cs="Arial"/>
          <w:lang w:eastAsia="fr-FR"/>
        </w:rPr>
        <w:t>Pour le calcul de la contrevaleur des opérations</w:t>
      </w:r>
      <w:r w:rsidR="009214EE">
        <w:rPr>
          <w:rFonts w:ascii="Arial" w:hAnsi="Arial" w:cs="Arial"/>
          <w:lang w:eastAsia="fr-FR"/>
        </w:rPr>
        <w:t xml:space="preserve"> aux questions 7.520 à 7.545</w:t>
      </w:r>
      <w:r w:rsidRPr="006B1181">
        <w:rPr>
          <w:rFonts w:ascii="Arial" w:hAnsi="Arial" w:cs="Arial"/>
          <w:lang w:eastAsia="fr-FR"/>
        </w:rPr>
        <w:t>, la méthode préférée est la somme des contrevaleurs en euros calculée à la date de chaque opération, mais il est possible d’utiliser d’autres méthodes communément employées par l’entreprise, comme par exemple un cours moyen mensuel ou trimestriel</w:t>
      </w:r>
      <w:r w:rsidR="009113B6">
        <w:rPr>
          <w:rFonts w:ascii="Arial" w:hAnsi="Arial" w:cs="Arial"/>
          <w:lang w:eastAsia="fr-FR"/>
        </w:rPr>
        <w:t>, en le précisant en commentaires</w:t>
      </w:r>
      <w:r w:rsidRPr="006B1181">
        <w:rPr>
          <w:rFonts w:ascii="Arial" w:hAnsi="Arial" w:cs="Arial"/>
          <w:lang w:eastAsia="fr-FR"/>
        </w:rPr>
        <w:t>.</w:t>
      </w:r>
    </w:p>
    <w:p w14:paraId="1C6603F5" w14:textId="77777777" w:rsidR="00667211" w:rsidRDefault="00667211" w:rsidP="00483865">
      <w:pPr>
        <w:autoSpaceDE w:val="0"/>
        <w:autoSpaceDN w:val="0"/>
        <w:adjustRightInd w:val="0"/>
        <w:rPr>
          <w:rFonts w:ascii="Arial" w:hAnsi="Arial" w:cs="Arial"/>
          <w:b/>
          <w:u w:val="single"/>
          <w:lang w:eastAsia="fr-FR"/>
        </w:rPr>
      </w:pPr>
    </w:p>
    <w:p w14:paraId="10B29EDB" w14:textId="77777777" w:rsidR="00ED1518" w:rsidRDefault="00ED1518" w:rsidP="00483865">
      <w:pPr>
        <w:autoSpaceDE w:val="0"/>
        <w:autoSpaceDN w:val="0"/>
        <w:adjustRightInd w:val="0"/>
        <w:rPr>
          <w:rFonts w:ascii="Arial" w:hAnsi="Arial" w:cs="Arial"/>
          <w:lang w:eastAsia="fr-FR"/>
        </w:rPr>
      </w:pPr>
    </w:p>
    <w:p w14:paraId="2F84EAA9" w14:textId="7B0722C5" w:rsidR="00667211" w:rsidRDefault="00667211" w:rsidP="00483865">
      <w:pPr>
        <w:autoSpaceDE w:val="0"/>
        <w:autoSpaceDN w:val="0"/>
        <w:adjustRightInd w:val="0"/>
        <w:rPr>
          <w:rFonts w:ascii="Arial" w:hAnsi="Arial" w:cs="Arial"/>
          <w:b/>
          <w:u w:val="single"/>
          <w:lang w:eastAsia="fr-FR"/>
        </w:rPr>
      </w:pPr>
      <w:r>
        <w:rPr>
          <w:rFonts w:ascii="Arial" w:hAnsi="Arial" w:cs="Arial"/>
          <w:b/>
          <w:u w:val="single"/>
          <w:lang w:eastAsia="fr-FR"/>
        </w:rPr>
        <w:t>B8</w:t>
      </w:r>
      <w:r w:rsidR="00483865">
        <w:rPr>
          <w:rFonts w:ascii="Arial" w:hAnsi="Arial" w:cs="Arial"/>
          <w:b/>
          <w:u w:val="single"/>
          <w:lang w:eastAsia="fr-FR"/>
        </w:rPr>
        <w:t xml:space="preserve"> </w:t>
      </w:r>
      <w:r>
        <w:rPr>
          <w:rFonts w:ascii="Arial" w:hAnsi="Arial" w:cs="Arial"/>
          <w:b/>
          <w:u w:val="single"/>
          <w:lang w:eastAsia="fr-FR"/>
        </w:rPr>
        <w:t>- Données statistiques</w:t>
      </w:r>
    </w:p>
    <w:p w14:paraId="192B2A97" w14:textId="77777777" w:rsidR="00667211" w:rsidRDefault="00667211" w:rsidP="00483865">
      <w:pPr>
        <w:autoSpaceDE w:val="0"/>
        <w:autoSpaceDN w:val="0"/>
        <w:adjustRightInd w:val="0"/>
        <w:rPr>
          <w:rFonts w:ascii="Arial" w:hAnsi="Arial" w:cs="Arial"/>
          <w:lang w:eastAsia="fr-FR"/>
        </w:rPr>
      </w:pPr>
    </w:p>
    <w:p w14:paraId="280DAA7D" w14:textId="5E32E130" w:rsidR="00667211" w:rsidRPr="00667211" w:rsidRDefault="00667211" w:rsidP="00483865">
      <w:pPr>
        <w:autoSpaceDE w:val="0"/>
        <w:autoSpaceDN w:val="0"/>
        <w:adjustRightInd w:val="0"/>
        <w:rPr>
          <w:rFonts w:ascii="Arial" w:hAnsi="Arial" w:cs="Arial"/>
          <w:lang w:eastAsia="fr-FR"/>
        </w:rPr>
      </w:pPr>
      <w:r w:rsidRPr="00667211">
        <w:rPr>
          <w:rFonts w:ascii="Arial" w:hAnsi="Arial" w:cs="Arial"/>
          <w:lang w:eastAsia="fr-FR"/>
        </w:rPr>
        <w:t xml:space="preserve">Questions 8.010 à 8.230, et 8.440 à 8.480 : les données à renseigner le sont sur base individuelle par tous les organismes assujettis. </w:t>
      </w:r>
    </w:p>
    <w:p w14:paraId="2F5249C3" w14:textId="77777777" w:rsidR="00667211" w:rsidRPr="00667211" w:rsidRDefault="00667211" w:rsidP="00483865">
      <w:pPr>
        <w:autoSpaceDE w:val="0"/>
        <w:autoSpaceDN w:val="0"/>
        <w:adjustRightInd w:val="0"/>
        <w:rPr>
          <w:rFonts w:ascii="Arial" w:hAnsi="Arial" w:cs="Arial"/>
          <w:lang w:eastAsia="fr-FR"/>
        </w:rPr>
      </w:pPr>
    </w:p>
    <w:p w14:paraId="1722D9CF" w14:textId="77777777" w:rsidR="00667211" w:rsidRPr="00C60EE1" w:rsidRDefault="00667211" w:rsidP="00483865">
      <w:pPr>
        <w:autoSpaceDE w:val="0"/>
        <w:autoSpaceDN w:val="0"/>
        <w:adjustRightInd w:val="0"/>
        <w:rPr>
          <w:rFonts w:ascii="Arial" w:hAnsi="Arial" w:cs="Arial"/>
          <w:u w:val="single"/>
          <w:lang w:eastAsia="fr-FR"/>
        </w:rPr>
      </w:pPr>
      <w:r w:rsidRPr="00C60EE1">
        <w:rPr>
          <w:rFonts w:ascii="Arial" w:hAnsi="Arial" w:cs="Arial"/>
          <w:u w:val="single"/>
          <w:lang w:eastAsia="fr-FR"/>
        </w:rPr>
        <w:t>Formation du personnel</w:t>
      </w:r>
    </w:p>
    <w:p w14:paraId="2F0A8B5B" w14:textId="77777777" w:rsidR="00C60EE1" w:rsidRPr="00667211" w:rsidRDefault="00C60EE1" w:rsidP="00483865">
      <w:pPr>
        <w:autoSpaceDE w:val="0"/>
        <w:autoSpaceDN w:val="0"/>
        <w:adjustRightInd w:val="0"/>
        <w:rPr>
          <w:rFonts w:ascii="Arial" w:hAnsi="Arial" w:cs="Arial"/>
          <w:lang w:eastAsia="fr-FR"/>
        </w:rPr>
      </w:pPr>
    </w:p>
    <w:p w14:paraId="4290F288" w14:textId="1BE3D1D2" w:rsidR="00C60EE1" w:rsidRPr="00667211" w:rsidRDefault="00667211" w:rsidP="00483865">
      <w:pPr>
        <w:autoSpaceDE w:val="0"/>
        <w:autoSpaceDN w:val="0"/>
        <w:adjustRightInd w:val="0"/>
        <w:rPr>
          <w:rFonts w:ascii="Arial" w:hAnsi="Arial" w:cs="Arial"/>
          <w:lang w:eastAsia="fr-FR"/>
        </w:rPr>
      </w:pPr>
      <w:r w:rsidRPr="00667211">
        <w:rPr>
          <w:rFonts w:ascii="Arial" w:hAnsi="Arial" w:cs="Arial"/>
          <w:lang w:eastAsia="fr-FR"/>
        </w:rPr>
        <w:t>Questions 8.010 à 8.020 sur la formation : la notion de préposés et de personnes agissant au nom et pour le compte de l’org</w:t>
      </w:r>
      <w:r w:rsidR="00C60EE1">
        <w:rPr>
          <w:rFonts w:ascii="Arial" w:hAnsi="Arial" w:cs="Arial"/>
          <w:lang w:eastAsia="fr-FR"/>
        </w:rPr>
        <w:t>anisme, s’entend au sens large.</w:t>
      </w:r>
      <w:r w:rsidR="00C60EE1" w:rsidRPr="00667211">
        <w:rPr>
          <w:rFonts w:ascii="Arial" w:hAnsi="Arial" w:cs="Arial"/>
          <w:lang w:eastAsia="fr-FR"/>
        </w:rPr>
        <w:t xml:space="preserve"> </w:t>
      </w:r>
    </w:p>
    <w:p w14:paraId="4DB52864" w14:textId="77777777" w:rsidR="00667211" w:rsidRPr="00667211" w:rsidRDefault="00667211" w:rsidP="00483865">
      <w:pPr>
        <w:autoSpaceDE w:val="0"/>
        <w:autoSpaceDN w:val="0"/>
        <w:adjustRightInd w:val="0"/>
        <w:rPr>
          <w:rFonts w:ascii="Arial" w:hAnsi="Arial" w:cs="Arial"/>
          <w:lang w:eastAsia="fr-FR"/>
        </w:rPr>
      </w:pPr>
      <w:r w:rsidRPr="00667211">
        <w:rPr>
          <w:rFonts w:ascii="Arial" w:hAnsi="Arial" w:cs="Arial"/>
          <w:lang w:eastAsia="fr-FR"/>
        </w:rPr>
        <w:t xml:space="preserve">Pour les succursales françaises d’organismes étrangers, dont le dispositif LCB-FT est en partie piloté par le siège, cela peut recouvrir les personnes exerçant au siège. Dans ce cas, elles le précisent dans la colonne « commentaires » et indiquent le nombre de préposés situés au siège et en France qui sont concernés.  </w:t>
      </w:r>
    </w:p>
    <w:p w14:paraId="39DB6E21" w14:textId="77777777" w:rsidR="00667211" w:rsidRPr="00667211" w:rsidRDefault="00667211" w:rsidP="00483865">
      <w:pPr>
        <w:autoSpaceDE w:val="0"/>
        <w:autoSpaceDN w:val="0"/>
        <w:adjustRightInd w:val="0"/>
        <w:rPr>
          <w:rFonts w:ascii="Arial" w:hAnsi="Arial" w:cs="Arial"/>
          <w:lang w:eastAsia="fr-FR"/>
        </w:rPr>
      </w:pPr>
    </w:p>
    <w:p w14:paraId="321CADBF" w14:textId="77777777" w:rsidR="00667211" w:rsidRPr="00C60EE1" w:rsidRDefault="00667211" w:rsidP="00483865">
      <w:pPr>
        <w:autoSpaceDE w:val="0"/>
        <w:autoSpaceDN w:val="0"/>
        <w:adjustRightInd w:val="0"/>
        <w:rPr>
          <w:rFonts w:ascii="Arial" w:hAnsi="Arial" w:cs="Arial"/>
          <w:u w:val="single"/>
          <w:lang w:eastAsia="fr-FR"/>
        </w:rPr>
      </w:pPr>
      <w:r w:rsidRPr="00C60EE1">
        <w:rPr>
          <w:rFonts w:ascii="Arial" w:hAnsi="Arial" w:cs="Arial"/>
          <w:u w:val="single"/>
          <w:lang w:eastAsia="fr-FR"/>
        </w:rPr>
        <w:t>Effectifs</w:t>
      </w:r>
    </w:p>
    <w:p w14:paraId="1142565A" w14:textId="77777777" w:rsidR="00667211" w:rsidRPr="00667211" w:rsidRDefault="00667211" w:rsidP="00483865">
      <w:pPr>
        <w:autoSpaceDE w:val="0"/>
        <w:autoSpaceDN w:val="0"/>
        <w:adjustRightInd w:val="0"/>
        <w:rPr>
          <w:rFonts w:ascii="Arial" w:hAnsi="Arial" w:cs="Arial"/>
          <w:lang w:eastAsia="fr-FR"/>
        </w:rPr>
      </w:pPr>
    </w:p>
    <w:p w14:paraId="38F765A1" w14:textId="67A7147E" w:rsidR="00667211" w:rsidRPr="00667211" w:rsidRDefault="00667211" w:rsidP="00483865">
      <w:pPr>
        <w:autoSpaceDE w:val="0"/>
        <w:autoSpaceDN w:val="0"/>
        <w:adjustRightInd w:val="0"/>
        <w:rPr>
          <w:rFonts w:ascii="Arial" w:hAnsi="Arial" w:cs="Arial"/>
          <w:lang w:eastAsia="fr-FR"/>
        </w:rPr>
      </w:pPr>
      <w:r w:rsidRPr="00667211">
        <w:rPr>
          <w:rFonts w:ascii="Arial" w:hAnsi="Arial" w:cs="Arial"/>
          <w:lang w:eastAsia="fr-FR"/>
        </w:rPr>
        <w:t xml:space="preserve">Il est répondu à la question 8.030 relative aux effectifs qui participent au dispositif LCB-FT de l’organisme en effectifs temps plein (ETP) et à l’exclusion des chargés de clientèle ou commerciaux et des personnes en charge du contrôle périodique. </w:t>
      </w:r>
      <w:r w:rsidR="006B1181">
        <w:rPr>
          <w:rFonts w:ascii="Arial" w:hAnsi="Arial" w:cs="Arial"/>
          <w:lang w:eastAsia="fr-FR"/>
        </w:rPr>
        <w:t>Il est néanmoins possible d’indiquer dans la case commentaires, en complément, l’équivalent temps-plein consacré à la LCB-FT par les chargés de clientèle, commerciaux et personnes en charge du contrôle périodique.</w:t>
      </w:r>
    </w:p>
    <w:p w14:paraId="0602AE67" w14:textId="77777777" w:rsidR="00667211" w:rsidRPr="00667211" w:rsidRDefault="00667211" w:rsidP="00483865">
      <w:pPr>
        <w:autoSpaceDE w:val="0"/>
        <w:autoSpaceDN w:val="0"/>
        <w:adjustRightInd w:val="0"/>
        <w:rPr>
          <w:rFonts w:ascii="Arial" w:hAnsi="Arial" w:cs="Arial"/>
          <w:lang w:eastAsia="fr-FR"/>
        </w:rPr>
      </w:pPr>
    </w:p>
    <w:p w14:paraId="2FE961E3" w14:textId="77777777" w:rsidR="00667211" w:rsidRPr="00C60EE1" w:rsidRDefault="00667211" w:rsidP="00483865">
      <w:pPr>
        <w:autoSpaceDE w:val="0"/>
        <w:autoSpaceDN w:val="0"/>
        <w:adjustRightInd w:val="0"/>
        <w:rPr>
          <w:rFonts w:ascii="Arial" w:hAnsi="Arial" w:cs="Arial"/>
          <w:u w:val="single"/>
          <w:lang w:eastAsia="fr-FR"/>
        </w:rPr>
      </w:pPr>
      <w:r w:rsidRPr="00C60EE1">
        <w:rPr>
          <w:rFonts w:ascii="Arial" w:hAnsi="Arial" w:cs="Arial"/>
          <w:u w:val="single"/>
          <w:lang w:eastAsia="fr-FR"/>
        </w:rPr>
        <w:t>Vigilance à l’égard de la clientèle</w:t>
      </w:r>
    </w:p>
    <w:p w14:paraId="275D0B59" w14:textId="77777777" w:rsidR="00667211" w:rsidRPr="00667211" w:rsidRDefault="00667211" w:rsidP="00483865">
      <w:pPr>
        <w:autoSpaceDE w:val="0"/>
        <w:autoSpaceDN w:val="0"/>
        <w:adjustRightInd w:val="0"/>
        <w:rPr>
          <w:rFonts w:ascii="Arial" w:hAnsi="Arial" w:cs="Arial"/>
          <w:lang w:eastAsia="fr-FR"/>
        </w:rPr>
      </w:pPr>
    </w:p>
    <w:p w14:paraId="37890C8E" w14:textId="77777777" w:rsidR="00667211" w:rsidRPr="00667211" w:rsidRDefault="00667211" w:rsidP="00483865">
      <w:pPr>
        <w:autoSpaceDE w:val="0"/>
        <w:autoSpaceDN w:val="0"/>
        <w:adjustRightInd w:val="0"/>
        <w:rPr>
          <w:rFonts w:ascii="Arial" w:hAnsi="Arial" w:cs="Arial"/>
          <w:lang w:eastAsia="fr-FR"/>
        </w:rPr>
      </w:pPr>
      <w:r w:rsidRPr="00667211">
        <w:rPr>
          <w:rFonts w:ascii="Arial" w:hAnsi="Arial" w:cs="Arial"/>
          <w:lang w:eastAsia="fr-FR"/>
        </w:rPr>
        <w:t>La question 8.040 porte sur le nombre d’alertes générées par le dispositif de détection des opérations atypiques ou suspectes, qu’il soit automatisé ou non (par exemple : remontée de l’alerte par des chargés de clientèle).</w:t>
      </w:r>
    </w:p>
    <w:p w14:paraId="1FB37868" w14:textId="77777777" w:rsidR="00667211" w:rsidRPr="00667211" w:rsidRDefault="00667211" w:rsidP="00483865">
      <w:pPr>
        <w:autoSpaceDE w:val="0"/>
        <w:autoSpaceDN w:val="0"/>
        <w:adjustRightInd w:val="0"/>
        <w:rPr>
          <w:rFonts w:ascii="Arial" w:hAnsi="Arial" w:cs="Arial"/>
          <w:lang w:eastAsia="fr-FR"/>
        </w:rPr>
      </w:pPr>
    </w:p>
    <w:p w14:paraId="431EF8EF" w14:textId="048B55AA" w:rsidR="00667211" w:rsidRDefault="00667211" w:rsidP="00483865">
      <w:pPr>
        <w:autoSpaceDE w:val="0"/>
        <w:autoSpaceDN w:val="0"/>
        <w:adjustRightInd w:val="0"/>
        <w:rPr>
          <w:rFonts w:ascii="Arial" w:hAnsi="Arial" w:cs="Arial"/>
          <w:lang w:eastAsia="fr-FR"/>
        </w:rPr>
      </w:pPr>
      <w:r w:rsidRPr="00667211">
        <w:rPr>
          <w:rFonts w:ascii="Arial" w:hAnsi="Arial" w:cs="Arial"/>
          <w:lang w:eastAsia="fr-FR"/>
        </w:rPr>
        <w:t xml:space="preserve">La réponse donnée à la question 8.080 relative aux PPE inclut le client, et le cas échéant, le bénéficiaire effectif (cf. article L. 561-2-2 </w:t>
      </w:r>
      <w:r w:rsidR="00590DC8">
        <w:rPr>
          <w:rFonts w:ascii="Arial" w:hAnsi="Arial" w:cs="Arial"/>
          <w:lang w:eastAsia="fr-FR"/>
        </w:rPr>
        <w:t xml:space="preserve">du </w:t>
      </w:r>
      <w:r w:rsidR="00590DC8">
        <w:rPr>
          <w:rFonts w:ascii="Arial" w:hAnsi="Arial" w:cs="Arial"/>
        </w:rPr>
        <w:t>C</w:t>
      </w:r>
      <w:r w:rsidR="00590DC8" w:rsidRPr="00C60EE1">
        <w:rPr>
          <w:rFonts w:ascii="Arial" w:hAnsi="Arial" w:cs="Arial"/>
        </w:rPr>
        <w:t>ode monétaire et financier</w:t>
      </w:r>
      <w:r w:rsidRPr="00667211">
        <w:rPr>
          <w:rFonts w:ascii="Arial" w:hAnsi="Arial" w:cs="Arial"/>
          <w:lang w:eastAsia="fr-FR"/>
        </w:rPr>
        <w:t xml:space="preserve">), le bénéficiaire du contrat d’assurance-vie ou de capitalisation ainsi que le cas échéant, le bénéficiaire effectif du bénéficiaire, lorsqu’une de ces personnes </w:t>
      </w:r>
      <w:proofErr w:type="gramStart"/>
      <w:r w:rsidRPr="00667211">
        <w:rPr>
          <w:rFonts w:ascii="Arial" w:hAnsi="Arial" w:cs="Arial"/>
          <w:lang w:eastAsia="fr-FR"/>
        </w:rPr>
        <w:t>a</w:t>
      </w:r>
      <w:proofErr w:type="gramEnd"/>
      <w:r w:rsidRPr="00667211">
        <w:rPr>
          <w:rFonts w:ascii="Arial" w:hAnsi="Arial" w:cs="Arial"/>
          <w:lang w:eastAsia="fr-FR"/>
        </w:rPr>
        <w:t xml:space="preserve"> la qualité de PPE au sens de la réglementation LCB-FT. Il s’agit de donner le nombre de relations d’affaires avec des PPE au 31 décembre de l’année N-1.</w:t>
      </w:r>
    </w:p>
    <w:p w14:paraId="37383338" w14:textId="448EE905" w:rsidR="00F146B1" w:rsidRDefault="00F146B1" w:rsidP="00483865">
      <w:pPr>
        <w:autoSpaceDE w:val="0"/>
        <w:autoSpaceDN w:val="0"/>
        <w:adjustRightInd w:val="0"/>
        <w:rPr>
          <w:rFonts w:ascii="Arial" w:hAnsi="Arial" w:cs="Arial"/>
          <w:lang w:eastAsia="fr-FR"/>
        </w:rPr>
      </w:pPr>
    </w:p>
    <w:p w14:paraId="398E2FE4" w14:textId="38D81607" w:rsidR="00F146B1" w:rsidRPr="00667211" w:rsidRDefault="00F146B1" w:rsidP="00483865">
      <w:pPr>
        <w:autoSpaceDE w:val="0"/>
        <w:autoSpaceDN w:val="0"/>
        <w:adjustRightInd w:val="0"/>
        <w:rPr>
          <w:rFonts w:ascii="Arial" w:hAnsi="Arial" w:cs="Arial"/>
          <w:lang w:eastAsia="fr-FR"/>
        </w:rPr>
      </w:pPr>
      <w:r>
        <w:rPr>
          <w:rFonts w:ascii="Arial" w:hAnsi="Arial" w:cs="Arial"/>
          <w:lang w:eastAsia="fr-FR"/>
        </w:rPr>
        <w:t xml:space="preserve">La question 8.120 porte </w:t>
      </w:r>
      <w:r w:rsidR="00351FD3">
        <w:rPr>
          <w:rFonts w:ascii="Arial" w:hAnsi="Arial" w:cs="Arial"/>
          <w:lang w:eastAsia="fr-FR"/>
        </w:rPr>
        <w:t xml:space="preserve">sur </w:t>
      </w:r>
      <w:r w:rsidRPr="00F146B1">
        <w:rPr>
          <w:rFonts w:ascii="Arial" w:hAnsi="Arial" w:cs="Arial"/>
          <w:lang w:eastAsia="fr-FR"/>
        </w:rPr>
        <w:t xml:space="preserve">la désignation par Tracfin </w:t>
      </w:r>
      <w:r w:rsidR="00351FD3">
        <w:rPr>
          <w:rFonts w:ascii="Arial" w:hAnsi="Arial" w:cs="Arial"/>
          <w:lang w:eastAsia="fr-FR"/>
        </w:rPr>
        <w:t xml:space="preserve">des personnes physiques clientes </w:t>
      </w:r>
      <w:r w:rsidRPr="00F146B1">
        <w:rPr>
          <w:rFonts w:ascii="Arial" w:hAnsi="Arial" w:cs="Arial"/>
          <w:lang w:eastAsia="fr-FR"/>
        </w:rPr>
        <w:t xml:space="preserve">au titre des dispositions de l’article L. 561-26 du </w:t>
      </w:r>
      <w:r w:rsidR="00590DC8">
        <w:rPr>
          <w:rFonts w:ascii="Arial" w:hAnsi="Arial" w:cs="Arial"/>
        </w:rPr>
        <w:t>C</w:t>
      </w:r>
      <w:r w:rsidR="00590DC8" w:rsidRPr="00C60EE1">
        <w:rPr>
          <w:rFonts w:ascii="Arial" w:hAnsi="Arial" w:cs="Arial"/>
        </w:rPr>
        <w:t>ode monétaire et financier</w:t>
      </w:r>
      <w:r w:rsidRPr="00F146B1">
        <w:rPr>
          <w:rFonts w:ascii="Arial" w:hAnsi="Arial" w:cs="Arial"/>
          <w:lang w:eastAsia="fr-FR"/>
        </w:rPr>
        <w:t>, 2°</w:t>
      </w:r>
      <w:r w:rsidR="00BC7A74">
        <w:rPr>
          <w:rFonts w:ascii="Arial" w:hAnsi="Arial" w:cs="Arial"/>
          <w:lang w:eastAsia="fr-FR"/>
        </w:rPr>
        <w:t>.</w:t>
      </w:r>
      <w:r w:rsidR="0083240F">
        <w:rPr>
          <w:rFonts w:ascii="Arial" w:hAnsi="Arial" w:cs="Arial"/>
          <w:lang w:eastAsia="fr-FR"/>
        </w:rPr>
        <w:t xml:space="preserve"> </w:t>
      </w:r>
      <w:r w:rsidR="0083240F" w:rsidRPr="0083240F">
        <w:rPr>
          <w:rFonts w:ascii="Arial" w:hAnsi="Arial" w:cs="Arial"/>
          <w:lang w:eastAsia="fr-FR"/>
        </w:rPr>
        <w:t>Le PSAN devra répondre « oui » si l’un de ses clients figure sur la liste de Tracfin</w:t>
      </w:r>
      <w:r w:rsidR="0083240F">
        <w:rPr>
          <w:rFonts w:ascii="Arial" w:hAnsi="Arial" w:cs="Arial"/>
          <w:lang w:eastAsia="fr-FR"/>
        </w:rPr>
        <w:t>.</w:t>
      </w:r>
    </w:p>
    <w:p w14:paraId="1640C9C9" w14:textId="77777777" w:rsidR="00667211" w:rsidRPr="00667211" w:rsidRDefault="00667211" w:rsidP="00483865">
      <w:pPr>
        <w:autoSpaceDE w:val="0"/>
        <w:autoSpaceDN w:val="0"/>
        <w:adjustRightInd w:val="0"/>
        <w:rPr>
          <w:rFonts w:ascii="Arial" w:hAnsi="Arial" w:cs="Arial"/>
          <w:lang w:eastAsia="fr-FR"/>
        </w:rPr>
      </w:pPr>
    </w:p>
    <w:p w14:paraId="4E89D925" w14:textId="77777777" w:rsidR="00667211" w:rsidRDefault="00667211" w:rsidP="00483865">
      <w:pPr>
        <w:autoSpaceDE w:val="0"/>
        <w:autoSpaceDN w:val="0"/>
        <w:adjustRightInd w:val="0"/>
        <w:rPr>
          <w:rFonts w:ascii="Arial" w:hAnsi="Arial" w:cs="Arial"/>
          <w:lang w:eastAsia="fr-FR"/>
        </w:rPr>
      </w:pPr>
      <w:r w:rsidRPr="00667211">
        <w:rPr>
          <w:rFonts w:ascii="Arial" w:hAnsi="Arial" w:cs="Arial"/>
          <w:lang w:eastAsia="fr-FR"/>
        </w:rPr>
        <w:t xml:space="preserve">S’agissant des questions 8.200 et 8.210 relatives au délai moyen entre l’exécution des opérations et leur déclaration à Tracfin, lorsqu’une succession d’opérations est à l’origine de leur caractère suspect, les organismes retiennent la date d’exécution de la dernière opération qui fait naître le soupçon pour calculer ce délai moyen. </w:t>
      </w:r>
    </w:p>
    <w:p w14:paraId="195C31F7" w14:textId="77777777" w:rsidR="00C60EE1" w:rsidRPr="00667211" w:rsidRDefault="00C60EE1" w:rsidP="00483865">
      <w:pPr>
        <w:autoSpaceDE w:val="0"/>
        <w:autoSpaceDN w:val="0"/>
        <w:adjustRightInd w:val="0"/>
        <w:rPr>
          <w:rFonts w:ascii="Arial" w:hAnsi="Arial" w:cs="Arial"/>
          <w:lang w:eastAsia="fr-FR"/>
        </w:rPr>
      </w:pPr>
    </w:p>
    <w:p w14:paraId="00F59C30" w14:textId="05FA4951" w:rsidR="00667211" w:rsidRPr="00667211" w:rsidRDefault="00667211" w:rsidP="00483865">
      <w:pPr>
        <w:autoSpaceDE w:val="0"/>
        <w:autoSpaceDN w:val="0"/>
        <w:adjustRightInd w:val="0"/>
        <w:rPr>
          <w:rFonts w:ascii="Arial" w:hAnsi="Arial" w:cs="Arial"/>
          <w:lang w:eastAsia="fr-FR"/>
        </w:rPr>
      </w:pPr>
      <w:r w:rsidRPr="00667211">
        <w:rPr>
          <w:rFonts w:ascii="Arial" w:hAnsi="Arial" w:cs="Arial"/>
          <w:lang w:eastAsia="fr-FR"/>
        </w:rPr>
        <w:lastRenderedPageBreak/>
        <w:t>Questions 8.450 et 8.460 relatives aux alertes générées par le dispositif de gel des avoirs</w:t>
      </w:r>
      <w:r w:rsidR="00590DC8">
        <w:rPr>
          <w:rFonts w:ascii="Arial" w:hAnsi="Arial" w:cs="Arial"/>
          <w:lang w:eastAsia="fr-FR"/>
        </w:rPr>
        <w:t> :</w:t>
      </w:r>
      <w:r w:rsidRPr="00667211">
        <w:rPr>
          <w:rFonts w:ascii="Arial" w:hAnsi="Arial" w:cs="Arial"/>
          <w:lang w:eastAsia="fr-FR"/>
        </w:rPr>
        <w:t xml:space="preserve"> la réponse comptabilise toutes les alertes, y compris celles sur les homonymies.</w:t>
      </w:r>
    </w:p>
    <w:p w14:paraId="69758D8A" w14:textId="77777777" w:rsidR="00667211" w:rsidRPr="00667211" w:rsidRDefault="00667211" w:rsidP="00483865">
      <w:pPr>
        <w:autoSpaceDE w:val="0"/>
        <w:autoSpaceDN w:val="0"/>
        <w:adjustRightInd w:val="0"/>
        <w:rPr>
          <w:rFonts w:ascii="Arial" w:hAnsi="Arial" w:cs="Arial"/>
          <w:lang w:eastAsia="fr-FR"/>
        </w:rPr>
      </w:pPr>
    </w:p>
    <w:p w14:paraId="5DC3D880" w14:textId="3AC4B946" w:rsidR="00043A10" w:rsidRDefault="00667211" w:rsidP="00483865">
      <w:pPr>
        <w:autoSpaceDE w:val="0"/>
        <w:autoSpaceDN w:val="0"/>
        <w:adjustRightInd w:val="0"/>
      </w:pPr>
      <w:r w:rsidRPr="00667211">
        <w:rPr>
          <w:rFonts w:ascii="Arial" w:hAnsi="Arial" w:cs="Arial"/>
          <w:lang w:eastAsia="fr-FR"/>
        </w:rPr>
        <w:t>La question 8.470 sur le délai de traitement des alertes en matière de gel sur la base clientèle porte sur le délai moyen en jours entre le déclenchement des alertes et la clôture de celles-ci.</w:t>
      </w:r>
    </w:p>
    <w:sectPr w:rsidR="00043A10" w:rsidSect="008023B6">
      <w:headerReference w:type="default" r:id="rId10"/>
      <w:footerReference w:type="default" r:id="rId11"/>
      <w:head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FEDE7" w14:textId="77777777" w:rsidR="002E3258" w:rsidRDefault="002E3258" w:rsidP="000D745B">
      <w:r>
        <w:separator/>
      </w:r>
    </w:p>
  </w:endnote>
  <w:endnote w:type="continuationSeparator" w:id="0">
    <w:p w14:paraId="1A63C00D" w14:textId="77777777" w:rsidR="002E3258" w:rsidRDefault="002E3258" w:rsidP="000D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62BC0" w14:textId="77777777" w:rsidR="007D4A74" w:rsidRDefault="007D4A74">
    <w:pPr>
      <w:pStyle w:val="Pieddepage"/>
      <w:jc w:val="right"/>
    </w:pPr>
  </w:p>
  <w:p w14:paraId="1C8915AE" w14:textId="77777777" w:rsidR="007D4A74" w:rsidRDefault="007D4A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40734" w14:textId="77777777" w:rsidR="002E3258" w:rsidRDefault="002E3258" w:rsidP="000D745B">
      <w:r>
        <w:separator/>
      </w:r>
    </w:p>
  </w:footnote>
  <w:footnote w:type="continuationSeparator" w:id="0">
    <w:p w14:paraId="5C992067" w14:textId="77777777" w:rsidR="002E3258" w:rsidRDefault="002E3258" w:rsidP="000D745B">
      <w:r>
        <w:continuationSeparator/>
      </w:r>
    </w:p>
  </w:footnote>
  <w:footnote w:id="1">
    <w:p w14:paraId="09E917E2" w14:textId="77777777" w:rsidR="00ED1518" w:rsidRPr="00CA7755" w:rsidRDefault="00ED1518" w:rsidP="00483865">
      <w:pPr>
        <w:autoSpaceDE w:val="0"/>
        <w:autoSpaceDN w:val="0"/>
        <w:adjustRightInd w:val="0"/>
        <w:rPr>
          <w:rFonts w:ascii="Arial" w:hAnsi="Arial" w:cs="Arial"/>
          <w:sz w:val="18"/>
          <w:szCs w:val="18"/>
          <w:lang w:eastAsia="en-US"/>
        </w:rPr>
      </w:pPr>
      <w:r w:rsidRPr="00CA7755">
        <w:rPr>
          <w:rStyle w:val="Appelnotedebasdep"/>
          <w:rFonts w:ascii="Arial" w:hAnsi="Arial" w:cs="Arial"/>
          <w:sz w:val="18"/>
          <w:szCs w:val="18"/>
        </w:rPr>
        <w:footnoteRef/>
      </w:r>
      <w:r w:rsidRPr="00CA7755">
        <w:rPr>
          <w:rFonts w:ascii="Arial" w:hAnsi="Arial" w:cs="Arial"/>
          <w:sz w:val="18"/>
          <w:szCs w:val="18"/>
        </w:rPr>
        <w:t xml:space="preserve"> Il est rappelé qu’en application de l’article R.561-38-2 du Code monétaire et financier les organismes peuvent avoir recours à des prestataires externes pour réaliser les activités liées aux obligations qui leur incombent en matière de LCB-FT, à l’exception des obligations de déclaration de soupçon auprès de Tracfin. Ces dispositions sont étendues au gel des avoirs par l’article R. 562-1 du même code.</w:t>
      </w:r>
    </w:p>
  </w:footnote>
  <w:footnote w:id="2">
    <w:p w14:paraId="34553BA5" w14:textId="77777777" w:rsidR="00CE6222" w:rsidRPr="00483865" w:rsidRDefault="00CE6222" w:rsidP="00CE6222">
      <w:pPr>
        <w:pStyle w:val="Notedebasdepage"/>
        <w:rPr>
          <w:rFonts w:ascii="Arial" w:hAnsi="Arial" w:cs="Arial"/>
          <w:sz w:val="18"/>
          <w:szCs w:val="18"/>
        </w:rPr>
      </w:pPr>
      <w:r w:rsidRPr="00483865">
        <w:rPr>
          <w:rStyle w:val="Appelnotedebasdep"/>
          <w:rFonts w:ascii="Arial" w:hAnsi="Arial" w:cs="Arial"/>
          <w:sz w:val="18"/>
          <w:szCs w:val="18"/>
        </w:rPr>
        <w:footnoteRef/>
      </w:r>
      <w:r w:rsidRPr="00483865">
        <w:rPr>
          <w:rFonts w:ascii="Arial" w:hAnsi="Arial" w:cs="Arial"/>
          <w:sz w:val="18"/>
          <w:szCs w:val="18"/>
        </w:rPr>
        <w:t xml:space="preserve"> cf. </w:t>
      </w:r>
      <w:hyperlink r:id="rId1" w:history="1">
        <w:r w:rsidRPr="00483865">
          <w:rPr>
            <w:rStyle w:val="Lienhypertexte"/>
            <w:rFonts w:ascii="Arial" w:hAnsi="Arial" w:cs="Arial"/>
            <w:sz w:val="18"/>
            <w:szCs w:val="18"/>
          </w:rPr>
          <w:t>article L 561-32</w:t>
        </w:r>
      </w:hyperlink>
      <w:r w:rsidRPr="00483865">
        <w:rPr>
          <w:rFonts w:ascii="Arial" w:hAnsi="Arial" w:cs="Arial"/>
          <w:sz w:val="18"/>
          <w:szCs w:val="18"/>
        </w:rPr>
        <w:t xml:space="preserve"> du CMF.</w:t>
      </w:r>
    </w:p>
  </w:footnote>
  <w:footnote w:id="3">
    <w:p w14:paraId="4AA956FA" w14:textId="2DB2BB17" w:rsidR="00E606A9" w:rsidRDefault="00E606A9" w:rsidP="00E606A9">
      <w:pPr>
        <w:pStyle w:val="Notedebasdepage"/>
      </w:pPr>
      <w:r>
        <w:rPr>
          <w:rStyle w:val="Appelnotedebasdep"/>
        </w:rPr>
        <w:footnoteRef/>
      </w:r>
      <w:r w:rsidR="00206F84">
        <w:t xml:space="preserve"> § 102</w:t>
      </w:r>
      <w:r>
        <w:t xml:space="preserve"> des lignes directrices ACPR-Trésor sur les obligations en matière de gel des avoirs.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379798"/>
      <w:docPartObj>
        <w:docPartGallery w:val="Page Numbers (Top of Page)"/>
        <w:docPartUnique/>
      </w:docPartObj>
    </w:sdtPr>
    <w:sdtEndPr/>
    <w:sdtContent>
      <w:p w14:paraId="59F969D2" w14:textId="4D774202" w:rsidR="007D4A74" w:rsidRDefault="007D4A74">
        <w:pPr>
          <w:pStyle w:val="En-tte"/>
          <w:jc w:val="right"/>
        </w:pPr>
        <w:r>
          <w:fldChar w:fldCharType="begin"/>
        </w:r>
        <w:r>
          <w:instrText>PAGE   \* MERGEFORMAT</w:instrText>
        </w:r>
        <w:r>
          <w:fldChar w:fldCharType="separate"/>
        </w:r>
        <w:r w:rsidR="004A7AD9">
          <w:rPr>
            <w:noProof/>
          </w:rPr>
          <w:t>7</w:t>
        </w:r>
        <w:r>
          <w:fldChar w:fldCharType="end"/>
        </w:r>
      </w:p>
    </w:sdtContent>
  </w:sdt>
  <w:p w14:paraId="505D8849" w14:textId="77777777" w:rsidR="007D4A74" w:rsidRDefault="007D4A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75422" w14:textId="493FC1B0" w:rsidR="00DA12DD" w:rsidRDefault="00DA12DD" w:rsidP="00DA12DD">
    <w:pPr>
      <w:pStyle w:val="En-tte"/>
      <w:jc w:val="right"/>
    </w:pPr>
    <w:r>
      <w:t xml:space="preserve">Annexe 2 à l’instruction </w:t>
    </w:r>
    <w:r w:rsidR="00060F55">
      <w:t>2022-I-01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6899"/>
    <w:multiLevelType w:val="hybridMultilevel"/>
    <w:tmpl w:val="779E57D2"/>
    <w:lvl w:ilvl="0" w:tplc="B566C0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E465C9"/>
    <w:multiLevelType w:val="hybridMultilevel"/>
    <w:tmpl w:val="848ED8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F54625"/>
    <w:multiLevelType w:val="hybridMultilevel"/>
    <w:tmpl w:val="3034A6C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AE02EB"/>
    <w:multiLevelType w:val="hybridMultilevel"/>
    <w:tmpl w:val="751086A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37D536F0"/>
    <w:multiLevelType w:val="hybridMultilevel"/>
    <w:tmpl w:val="9584721E"/>
    <w:lvl w:ilvl="0" w:tplc="8EA4A63A">
      <w:start w:val="1"/>
      <w:numFmt w:val="low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3C4D0D5D"/>
    <w:multiLevelType w:val="hybridMultilevel"/>
    <w:tmpl w:val="6E5E6A4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37B1111"/>
    <w:multiLevelType w:val="hybridMultilevel"/>
    <w:tmpl w:val="DFCAE830"/>
    <w:lvl w:ilvl="0" w:tplc="529EF068">
      <w:start w:val="5"/>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68FB2932"/>
    <w:multiLevelType w:val="hybridMultilevel"/>
    <w:tmpl w:val="C478EA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98612E9"/>
    <w:multiLevelType w:val="hybridMultilevel"/>
    <w:tmpl w:val="3C96BAEE"/>
    <w:lvl w:ilvl="0" w:tplc="01BA94C4">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52096C"/>
    <w:multiLevelType w:val="hybridMultilevel"/>
    <w:tmpl w:val="81F4CDC6"/>
    <w:lvl w:ilvl="0" w:tplc="529EF068">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8"/>
  </w:num>
  <w:num w:numId="5">
    <w:abstractNumId w:val="2"/>
  </w:num>
  <w:num w:numId="6">
    <w:abstractNumId w:val="6"/>
  </w:num>
  <w:num w:numId="7">
    <w:abstractNumId w:val="7"/>
  </w:num>
  <w:num w:numId="8">
    <w:abstractNumId w:val="1"/>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4F4"/>
    <w:rsid w:val="00005DC1"/>
    <w:rsid w:val="0001109E"/>
    <w:rsid w:val="00024E16"/>
    <w:rsid w:val="0003488D"/>
    <w:rsid w:val="000366A3"/>
    <w:rsid w:val="000370CE"/>
    <w:rsid w:val="000421BA"/>
    <w:rsid w:val="00042653"/>
    <w:rsid w:val="000434C8"/>
    <w:rsid w:val="00043A10"/>
    <w:rsid w:val="000443CC"/>
    <w:rsid w:val="00045A7E"/>
    <w:rsid w:val="000514A7"/>
    <w:rsid w:val="00055905"/>
    <w:rsid w:val="00056545"/>
    <w:rsid w:val="000568ED"/>
    <w:rsid w:val="00057A14"/>
    <w:rsid w:val="00060F55"/>
    <w:rsid w:val="00064782"/>
    <w:rsid w:val="0006660F"/>
    <w:rsid w:val="00077BD3"/>
    <w:rsid w:val="00083B74"/>
    <w:rsid w:val="000843DC"/>
    <w:rsid w:val="00084E17"/>
    <w:rsid w:val="00085373"/>
    <w:rsid w:val="00085611"/>
    <w:rsid w:val="00090136"/>
    <w:rsid w:val="00095117"/>
    <w:rsid w:val="000976E5"/>
    <w:rsid w:val="000A0C5C"/>
    <w:rsid w:val="000A15D4"/>
    <w:rsid w:val="000A7467"/>
    <w:rsid w:val="000B2512"/>
    <w:rsid w:val="000C4A2C"/>
    <w:rsid w:val="000C5E12"/>
    <w:rsid w:val="000D745B"/>
    <w:rsid w:val="000E3E02"/>
    <w:rsid w:val="000F2DD0"/>
    <w:rsid w:val="00100C50"/>
    <w:rsid w:val="001045E5"/>
    <w:rsid w:val="001067C6"/>
    <w:rsid w:val="00111FD9"/>
    <w:rsid w:val="00123467"/>
    <w:rsid w:val="001238BC"/>
    <w:rsid w:val="00127381"/>
    <w:rsid w:val="00132C33"/>
    <w:rsid w:val="00137BAD"/>
    <w:rsid w:val="00141CDC"/>
    <w:rsid w:val="00141E0D"/>
    <w:rsid w:val="0014363A"/>
    <w:rsid w:val="00146734"/>
    <w:rsid w:val="0015019E"/>
    <w:rsid w:val="001507A8"/>
    <w:rsid w:val="00153C4A"/>
    <w:rsid w:val="00162259"/>
    <w:rsid w:val="00165139"/>
    <w:rsid w:val="00165555"/>
    <w:rsid w:val="00170573"/>
    <w:rsid w:val="001755F6"/>
    <w:rsid w:val="00175AC1"/>
    <w:rsid w:val="00177F6D"/>
    <w:rsid w:val="00181C4C"/>
    <w:rsid w:val="00187535"/>
    <w:rsid w:val="00190C35"/>
    <w:rsid w:val="00192949"/>
    <w:rsid w:val="00197BBD"/>
    <w:rsid w:val="001A4059"/>
    <w:rsid w:val="001A70A9"/>
    <w:rsid w:val="001A70D1"/>
    <w:rsid w:val="001B0F44"/>
    <w:rsid w:val="001B15E0"/>
    <w:rsid w:val="001B4BE0"/>
    <w:rsid w:val="001B61E4"/>
    <w:rsid w:val="001C33E0"/>
    <w:rsid w:val="001C77C6"/>
    <w:rsid w:val="001E0077"/>
    <w:rsid w:val="001F0571"/>
    <w:rsid w:val="001F2439"/>
    <w:rsid w:val="001F2511"/>
    <w:rsid w:val="001F2E25"/>
    <w:rsid w:val="001F4AE8"/>
    <w:rsid w:val="001F781A"/>
    <w:rsid w:val="00200FE4"/>
    <w:rsid w:val="00202083"/>
    <w:rsid w:val="00204EA3"/>
    <w:rsid w:val="00206F84"/>
    <w:rsid w:val="0021772F"/>
    <w:rsid w:val="00222287"/>
    <w:rsid w:val="002258B7"/>
    <w:rsid w:val="00226978"/>
    <w:rsid w:val="002417A3"/>
    <w:rsid w:val="002450CE"/>
    <w:rsid w:val="00246F30"/>
    <w:rsid w:val="002505D9"/>
    <w:rsid w:val="002576B5"/>
    <w:rsid w:val="0026421C"/>
    <w:rsid w:val="00267D16"/>
    <w:rsid w:val="0027292C"/>
    <w:rsid w:val="00274B32"/>
    <w:rsid w:val="00277AC1"/>
    <w:rsid w:val="00281061"/>
    <w:rsid w:val="002821A7"/>
    <w:rsid w:val="00284120"/>
    <w:rsid w:val="00285B33"/>
    <w:rsid w:val="00290979"/>
    <w:rsid w:val="00293AEC"/>
    <w:rsid w:val="00294500"/>
    <w:rsid w:val="002A5FB8"/>
    <w:rsid w:val="002B1DE3"/>
    <w:rsid w:val="002B6B71"/>
    <w:rsid w:val="002B77BD"/>
    <w:rsid w:val="002C18CE"/>
    <w:rsid w:val="002C2BBB"/>
    <w:rsid w:val="002C585E"/>
    <w:rsid w:val="002C7FD7"/>
    <w:rsid w:val="002D2186"/>
    <w:rsid w:val="002D39D1"/>
    <w:rsid w:val="002E26FD"/>
    <w:rsid w:val="002E3258"/>
    <w:rsid w:val="002E6948"/>
    <w:rsid w:val="002F0925"/>
    <w:rsid w:val="002F0CEB"/>
    <w:rsid w:val="0030063A"/>
    <w:rsid w:val="00310A88"/>
    <w:rsid w:val="003110B9"/>
    <w:rsid w:val="0031168C"/>
    <w:rsid w:val="003200B9"/>
    <w:rsid w:val="003221B4"/>
    <w:rsid w:val="0032697E"/>
    <w:rsid w:val="00327969"/>
    <w:rsid w:val="0033057E"/>
    <w:rsid w:val="00330BB4"/>
    <w:rsid w:val="003345ED"/>
    <w:rsid w:val="00334CB1"/>
    <w:rsid w:val="00336493"/>
    <w:rsid w:val="003427A0"/>
    <w:rsid w:val="00343F18"/>
    <w:rsid w:val="00345442"/>
    <w:rsid w:val="00347B26"/>
    <w:rsid w:val="00351FD3"/>
    <w:rsid w:val="00353B18"/>
    <w:rsid w:val="00356F88"/>
    <w:rsid w:val="003612C4"/>
    <w:rsid w:val="0037193B"/>
    <w:rsid w:val="00374BFE"/>
    <w:rsid w:val="00375CBA"/>
    <w:rsid w:val="0037728C"/>
    <w:rsid w:val="00382470"/>
    <w:rsid w:val="003824C1"/>
    <w:rsid w:val="0038685C"/>
    <w:rsid w:val="00386C89"/>
    <w:rsid w:val="00387209"/>
    <w:rsid w:val="003922FE"/>
    <w:rsid w:val="0039764E"/>
    <w:rsid w:val="00397D9B"/>
    <w:rsid w:val="003A4F82"/>
    <w:rsid w:val="003A563F"/>
    <w:rsid w:val="003A7E79"/>
    <w:rsid w:val="003B1F21"/>
    <w:rsid w:val="003B7601"/>
    <w:rsid w:val="003C0142"/>
    <w:rsid w:val="003C0433"/>
    <w:rsid w:val="003C06A8"/>
    <w:rsid w:val="003C2A77"/>
    <w:rsid w:val="003D7256"/>
    <w:rsid w:val="003D78F6"/>
    <w:rsid w:val="003E01A6"/>
    <w:rsid w:val="003E5E87"/>
    <w:rsid w:val="003F64F1"/>
    <w:rsid w:val="004001EC"/>
    <w:rsid w:val="004043CF"/>
    <w:rsid w:val="00405C03"/>
    <w:rsid w:val="00411D24"/>
    <w:rsid w:val="004148C6"/>
    <w:rsid w:val="00415F88"/>
    <w:rsid w:val="00422299"/>
    <w:rsid w:val="00432688"/>
    <w:rsid w:val="00432E57"/>
    <w:rsid w:val="00437988"/>
    <w:rsid w:val="00445B3C"/>
    <w:rsid w:val="00450B1D"/>
    <w:rsid w:val="004561E6"/>
    <w:rsid w:val="00460D6E"/>
    <w:rsid w:val="004637E2"/>
    <w:rsid w:val="00463DD8"/>
    <w:rsid w:val="00465E4E"/>
    <w:rsid w:val="0046694F"/>
    <w:rsid w:val="00467FFA"/>
    <w:rsid w:val="00473793"/>
    <w:rsid w:val="00474BD5"/>
    <w:rsid w:val="00482905"/>
    <w:rsid w:val="00482FFC"/>
    <w:rsid w:val="00483865"/>
    <w:rsid w:val="00486F76"/>
    <w:rsid w:val="00487978"/>
    <w:rsid w:val="00493814"/>
    <w:rsid w:val="004946DB"/>
    <w:rsid w:val="00494BAF"/>
    <w:rsid w:val="00497258"/>
    <w:rsid w:val="004A2E83"/>
    <w:rsid w:val="004A5FD0"/>
    <w:rsid w:val="004A7076"/>
    <w:rsid w:val="004A7AD9"/>
    <w:rsid w:val="004B1A1A"/>
    <w:rsid w:val="004C2516"/>
    <w:rsid w:val="004C3B16"/>
    <w:rsid w:val="004D0A42"/>
    <w:rsid w:val="004D6BBA"/>
    <w:rsid w:val="004D744F"/>
    <w:rsid w:val="004D766A"/>
    <w:rsid w:val="004E04F4"/>
    <w:rsid w:val="004E079D"/>
    <w:rsid w:val="004E2512"/>
    <w:rsid w:val="004E27B5"/>
    <w:rsid w:val="004E3111"/>
    <w:rsid w:val="004E4313"/>
    <w:rsid w:val="004E4E65"/>
    <w:rsid w:val="004F1F67"/>
    <w:rsid w:val="00501018"/>
    <w:rsid w:val="00501924"/>
    <w:rsid w:val="00502C78"/>
    <w:rsid w:val="0050326B"/>
    <w:rsid w:val="00513B81"/>
    <w:rsid w:val="00515405"/>
    <w:rsid w:val="00515D53"/>
    <w:rsid w:val="00516F7A"/>
    <w:rsid w:val="0052163B"/>
    <w:rsid w:val="00524794"/>
    <w:rsid w:val="00526F0F"/>
    <w:rsid w:val="00530E2F"/>
    <w:rsid w:val="00531221"/>
    <w:rsid w:val="00533F8D"/>
    <w:rsid w:val="005403E4"/>
    <w:rsid w:val="00540ECE"/>
    <w:rsid w:val="005410A4"/>
    <w:rsid w:val="00544A9D"/>
    <w:rsid w:val="00551D22"/>
    <w:rsid w:val="0055275F"/>
    <w:rsid w:val="00555926"/>
    <w:rsid w:val="00563472"/>
    <w:rsid w:val="0056793C"/>
    <w:rsid w:val="00573B7F"/>
    <w:rsid w:val="005802A5"/>
    <w:rsid w:val="00581978"/>
    <w:rsid w:val="0058286E"/>
    <w:rsid w:val="00582A64"/>
    <w:rsid w:val="00583B29"/>
    <w:rsid w:val="0058672E"/>
    <w:rsid w:val="00590DC8"/>
    <w:rsid w:val="00591873"/>
    <w:rsid w:val="005918EE"/>
    <w:rsid w:val="00591D96"/>
    <w:rsid w:val="005A1E48"/>
    <w:rsid w:val="005A205E"/>
    <w:rsid w:val="005A32E8"/>
    <w:rsid w:val="005A356A"/>
    <w:rsid w:val="005A538D"/>
    <w:rsid w:val="005B1B25"/>
    <w:rsid w:val="005B1F2D"/>
    <w:rsid w:val="005B7A9A"/>
    <w:rsid w:val="005B7B2E"/>
    <w:rsid w:val="005C05DC"/>
    <w:rsid w:val="005C4586"/>
    <w:rsid w:val="005C5CF3"/>
    <w:rsid w:val="005C6BEF"/>
    <w:rsid w:val="005D33E5"/>
    <w:rsid w:val="005E2005"/>
    <w:rsid w:val="005E2484"/>
    <w:rsid w:val="005E491C"/>
    <w:rsid w:val="005E533B"/>
    <w:rsid w:val="005F5CB1"/>
    <w:rsid w:val="00602043"/>
    <w:rsid w:val="006035CF"/>
    <w:rsid w:val="00604DB8"/>
    <w:rsid w:val="00610879"/>
    <w:rsid w:val="00611905"/>
    <w:rsid w:val="006137B2"/>
    <w:rsid w:val="00613F9B"/>
    <w:rsid w:val="00624DC6"/>
    <w:rsid w:val="0062799A"/>
    <w:rsid w:val="00632AB4"/>
    <w:rsid w:val="00633311"/>
    <w:rsid w:val="00633460"/>
    <w:rsid w:val="00635B2F"/>
    <w:rsid w:val="00635B5C"/>
    <w:rsid w:val="0063746D"/>
    <w:rsid w:val="00644BF2"/>
    <w:rsid w:val="006509BA"/>
    <w:rsid w:val="00652F06"/>
    <w:rsid w:val="00654AA5"/>
    <w:rsid w:val="00660CB1"/>
    <w:rsid w:val="00665ADB"/>
    <w:rsid w:val="00667211"/>
    <w:rsid w:val="00667981"/>
    <w:rsid w:val="00672645"/>
    <w:rsid w:val="00673611"/>
    <w:rsid w:val="006738E5"/>
    <w:rsid w:val="00676B67"/>
    <w:rsid w:val="006815A6"/>
    <w:rsid w:val="00681EA8"/>
    <w:rsid w:val="00687446"/>
    <w:rsid w:val="00687E0C"/>
    <w:rsid w:val="00692EEE"/>
    <w:rsid w:val="006942EC"/>
    <w:rsid w:val="006A1CE3"/>
    <w:rsid w:val="006A314F"/>
    <w:rsid w:val="006B1181"/>
    <w:rsid w:val="006B1337"/>
    <w:rsid w:val="006B16D6"/>
    <w:rsid w:val="006B3C14"/>
    <w:rsid w:val="006B7CDF"/>
    <w:rsid w:val="006C2669"/>
    <w:rsid w:val="006C68A7"/>
    <w:rsid w:val="006C7FFB"/>
    <w:rsid w:val="006D135E"/>
    <w:rsid w:val="006E300E"/>
    <w:rsid w:val="006E4BCE"/>
    <w:rsid w:val="006E7DCE"/>
    <w:rsid w:val="006F2087"/>
    <w:rsid w:val="0070447F"/>
    <w:rsid w:val="007073CB"/>
    <w:rsid w:val="007103EC"/>
    <w:rsid w:val="00711815"/>
    <w:rsid w:val="0071256D"/>
    <w:rsid w:val="0072325E"/>
    <w:rsid w:val="00726F85"/>
    <w:rsid w:val="00734B46"/>
    <w:rsid w:val="00734C3F"/>
    <w:rsid w:val="0074192F"/>
    <w:rsid w:val="0074608D"/>
    <w:rsid w:val="00753A40"/>
    <w:rsid w:val="0075777E"/>
    <w:rsid w:val="0076161F"/>
    <w:rsid w:val="007627E6"/>
    <w:rsid w:val="00766BBD"/>
    <w:rsid w:val="007730CD"/>
    <w:rsid w:val="00777454"/>
    <w:rsid w:val="00783334"/>
    <w:rsid w:val="00784B6E"/>
    <w:rsid w:val="00784DF5"/>
    <w:rsid w:val="007864F4"/>
    <w:rsid w:val="00786971"/>
    <w:rsid w:val="0079049B"/>
    <w:rsid w:val="007A59D5"/>
    <w:rsid w:val="007A6B58"/>
    <w:rsid w:val="007B6EAC"/>
    <w:rsid w:val="007C2018"/>
    <w:rsid w:val="007D4A74"/>
    <w:rsid w:val="007E0B91"/>
    <w:rsid w:val="007E2BC3"/>
    <w:rsid w:val="007E360C"/>
    <w:rsid w:val="007E577F"/>
    <w:rsid w:val="007F17E8"/>
    <w:rsid w:val="007F2D16"/>
    <w:rsid w:val="008007F2"/>
    <w:rsid w:val="00800901"/>
    <w:rsid w:val="008023B6"/>
    <w:rsid w:val="00814533"/>
    <w:rsid w:val="0081458A"/>
    <w:rsid w:val="0083240F"/>
    <w:rsid w:val="00832747"/>
    <w:rsid w:val="008404E9"/>
    <w:rsid w:val="00840AFB"/>
    <w:rsid w:val="00843E68"/>
    <w:rsid w:val="00845EA0"/>
    <w:rsid w:val="00847130"/>
    <w:rsid w:val="0085010F"/>
    <w:rsid w:val="008506FF"/>
    <w:rsid w:val="008519A2"/>
    <w:rsid w:val="008569E5"/>
    <w:rsid w:val="00860B54"/>
    <w:rsid w:val="00861E8D"/>
    <w:rsid w:val="00873163"/>
    <w:rsid w:val="00883CF0"/>
    <w:rsid w:val="00884CD6"/>
    <w:rsid w:val="00891EE9"/>
    <w:rsid w:val="008927AF"/>
    <w:rsid w:val="0089477A"/>
    <w:rsid w:val="008A0FF7"/>
    <w:rsid w:val="008A4B52"/>
    <w:rsid w:val="008B1484"/>
    <w:rsid w:val="008B3D7F"/>
    <w:rsid w:val="008B3F70"/>
    <w:rsid w:val="008C4B71"/>
    <w:rsid w:val="008C60E6"/>
    <w:rsid w:val="008C6BF6"/>
    <w:rsid w:val="008C770D"/>
    <w:rsid w:val="008D0270"/>
    <w:rsid w:val="008D10FF"/>
    <w:rsid w:val="008D1ABF"/>
    <w:rsid w:val="008E053A"/>
    <w:rsid w:val="008F0DF6"/>
    <w:rsid w:val="008F15C3"/>
    <w:rsid w:val="008F171D"/>
    <w:rsid w:val="008F3D9F"/>
    <w:rsid w:val="008F5127"/>
    <w:rsid w:val="00900320"/>
    <w:rsid w:val="00903B53"/>
    <w:rsid w:val="00907C88"/>
    <w:rsid w:val="009108ED"/>
    <w:rsid w:val="009113B6"/>
    <w:rsid w:val="009131D8"/>
    <w:rsid w:val="009214EE"/>
    <w:rsid w:val="00922A9F"/>
    <w:rsid w:val="00923816"/>
    <w:rsid w:val="009260E2"/>
    <w:rsid w:val="00927287"/>
    <w:rsid w:val="009374E4"/>
    <w:rsid w:val="00942DEB"/>
    <w:rsid w:val="00943E76"/>
    <w:rsid w:val="009453F1"/>
    <w:rsid w:val="00951796"/>
    <w:rsid w:val="0096477D"/>
    <w:rsid w:val="00967A06"/>
    <w:rsid w:val="00975E7B"/>
    <w:rsid w:val="00976E45"/>
    <w:rsid w:val="0098074E"/>
    <w:rsid w:val="00983488"/>
    <w:rsid w:val="0098437D"/>
    <w:rsid w:val="009844F8"/>
    <w:rsid w:val="00994025"/>
    <w:rsid w:val="00994299"/>
    <w:rsid w:val="00994664"/>
    <w:rsid w:val="009B1867"/>
    <w:rsid w:val="009B4B70"/>
    <w:rsid w:val="009B50AC"/>
    <w:rsid w:val="009B79CC"/>
    <w:rsid w:val="009C034F"/>
    <w:rsid w:val="009C6ECD"/>
    <w:rsid w:val="009D1A57"/>
    <w:rsid w:val="009E7F2B"/>
    <w:rsid w:val="009F4290"/>
    <w:rsid w:val="009F42C0"/>
    <w:rsid w:val="009F7100"/>
    <w:rsid w:val="009F775B"/>
    <w:rsid w:val="00A053EB"/>
    <w:rsid w:val="00A069FC"/>
    <w:rsid w:val="00A100BB"/>
    <w:rsid w:val="00A13283"/>
    <w:rsid w:val="00A13594"/>
    <w:rsid w:val="00A2128D"/>
    <w:rsid w:val="00A21CD3"/>
    <w:rsid w:val="00A262BF"/>
    <w:rsid w:val="00A26BD0"/>
    <w:rsid w:val="00A3245B"/>
    <w:rsid w:val="00A33C04"/>
    <w:rsid w:val="00A34307"/>
    <w:rsid w:val="00A34C63"/>
    <w:rsid w:val="00A37414"/>
    <w:rsid w:val="00A44883"/>
    <w:rsid w:val="00A46383"/>
    <w:rsid w:val="00A46B44"/>
    <w:rsid w:val="00A47918"/>
    <w:rsid w:val="00A50118"/>
    <w:rsid w:val="00A62EDC"/>
    <w:rsid w:val="00A644D6"/>
    <w:rsid w:val="00A66623"/>
    <w:rsid w:val="00A74207"/>
    <w:rsid w:val="00A7655A"/>
    <w:rsid w:val="00A77386"/>
    <w:rsid w:val="00A80232"/>
    <w:rsid w:val="00A80CE6"/>
    <w:rsid w:val="00A82D0C"/>
    <w:rsid w:val="00A93CFD"/>
    <w:rsid w:val="00A979FF"/>
    <w:rsid w:val="00AA14C3"/>
    <w:rsid w:val="00AB090D"/>
    <w:rsid w:val="00AB41D1"/>
    <w:rsid w:val="00AC022A"/>
    <w:rsid w:val="00AC1F1A"/>
    <w:rsid w:val="00AC417F"/>
    <w:rsid w:val="00AC44FA"/>
    <w:rsid w:val="00AD42BE"/>
    <w:rsid w:val="00AD57E2"/>
    <w:rsid w:val="00AE238D"/>
    <w:rsid w:val="00AF08CF"/>
    <w:rsid w:val="00AF32C6"/>
    <w:rsid w:val="00AF3BEE"/>
    <w:rsid w:val="00B03948"/>
    <w:rsid w:val="00B043A5"/>
    <w:rsid w:val="00B054A3"/>
    <w:rsid w:val="00B05A11"/>
    <w:rsid w:val="00B06FC9"/>
    <w:rsid w:val="00B13C41"/>
    <w:rsid w:val="00B1606C"/>
    <w:rsid w:val="00B169E0"/>
    <w:rsid w:val="00B17CBB"/>
    <w:rsid w:val="00B2277F"/>
    <w:rsid w:val="00B24513"/>
    <w:rsid w:val="00B25A18"/>
    <w:rsid w:val="00B31374"/>
    <w:rsid w:val="00B32D8E"/>
    <w:rsid w:val="00B37F25"/>
    <w:rsid w:val="00B41BF6"/>
    <w:rsid w:val="00B41CFE"/>
    <w:rsid w:val="00B43BCF"/>
    <w:rsid w:val="00B44906"/>
    <w:rsid w:val="00B509D7"/>
    <w:rsid w:val="00B53BB3"/>
    <w:rsid w:val="00B558E6"/>
    <w:rsid w:val="00B72CCD"/>
    <w:rsid w:val="00B7421E"/>
    <w:rsid w:val="00B745BC"/>
    <w:rsid w:val="00B7523C"/>
    <w:rsid w:val="00B7781B"/>
    <w:rsid w:val="00B808A4"/>
    <w:rsid w:val="00B85107"/>
    <w:rsid w:val="00B91B6F"/>
    <w:rsid w:val="00B94024"/>
    <w:rsid w:val="00B95732"/>
    <w:rsid w:val="00B965CE"/>
    <w:rsid w:val="00BA0CD1"/>
    <w:rsid w:val="00BA0CEB"/>
    <w:rsid w:val="00BA308A"/>
    <w:rsid w:val="00BA3676"/>
    <w:rsid w:val="00BA4027"/>
    <w:rsid w:val="00BA7515"/>
    <w:rsid w:val="00BB7997"/>
    <w:rsid w:val="00BC0312"/>
    <w:rsid w:val="00BC799F"/>
    <w:rsid w:val="00BC7A74"/>
    <w:rsid w:val="00BD2157"/>
    <w:rsid w:val="00BE05B8"/>
    <w:rsid w:val="00BE40D5"/>
    <w:rsid w:val="00BF23B3"/>
    <w:rsid w:val="00BF49EE"/>
    <w:rsid w:val="00C0037B"/>
    <w:rsid w:val="00C06404"/>
    <w:rsid w:val="00C14EC0"/>
    <w:rsid w:val="00C17887"/>
    <w:rsid w:val="00C21B51"/>
    <w:rsid w:val="00C26B76"/>
    <w:rsid w:val="00C409DF"/>
    <w:rsid w:val="00C42DDE"/>
    <w:rsid w:val="00C4406B"/>
    <w:rsid w:val="00C465D2"/>
    <w:rsid w:val="00C51901"/>
    <w:rsid w:val="00C553A6"/>
    <w:rsid w:val="00C570B8"/>
    <w:rsid w:val="00C60EE1"/>
    <w:rsid w:val="00C614F7"/>
    <w:rsid w:val="00C62BB6"/>
    <w:rsid w:val="00C66CA1"/>
    <w:rsid w:val="00C72023"/>
    <w:rsid w:val="00C74349"/>
    <w:rsid w:val="00C77476"/>
    <w:rsid w:val="00C82435"/>
    <w:rsid w:val="00C86D86"/>
    <w:rsid w:val="00C8756A"/>
    <w:rsid w:val="00C9261C"/>
    <w:rsid w:val="00C92DC5"/>
    <w:rsid w:val="00C92EEB"/>
    <w:rsid w:val="00C94BC9"/>
    <w:rsid w:val="00C959DB"/>
    <w:rsid w:val="00CA0E17"/>
    <w:rsid w:val="00CA6D22"/>
    <w:rsid w:val="00CA7755"/>
    <w:rsid w:val="00CB04FD"/>
    <w:rsid w:val="00CB26FA"/>
    <w:rsid w:val="00CB3432"/>
    <w:rsid w:val="00CB5E8F"/>
    <w:rsid w:val="00CB6965"/>
    <w:rsid w:val="00CB6D58"/>
    <w:rsid w:val="00CC3A70"/>
    <w:rsid w:val="00CC5299"/>
    <w:rsid w:val="00CC675B"/>
    <w:rsid w:val="00CC7411"/>
    <w:rsid w:val="00CD0C62"/>
    <w:rsid w:val="00CD1B70"/>
    <w:rsid w:val="00CD3A7E"/>
    <w:rsid w:val="00CE2940"/>
    <w:rsid w:val="00CE32E4"/>
    <w:rsid w:val="00CE4E85"/>
    <w:rsid w:val="00CE6222"/>
    <w:rsid w:val="00D04FD6"/>
    <w:rsid w:val="00D07631"/>
    <w:rsid w:val="00D11028"/>
    <w:rsid w:val="00D12903"/>
    <w:rsid w:val="00D157D2"/>
    <w:rsid w:val="00D170A9"/>
    <w:rsid w:val="00D20C65"/>
    <w:rsid w:val="00D2323D"/>
    <w:rsid w:val="00D26E59"/>
    <w:rsid w:val="00D31635"/>
    <w:rsid w:val="00D31B41"/>
    <w:rsid w:val="00D341CC"/>
    <w:rsid w:val="00D36B35"/>
    <w:rsid w:val="00D43686"/>
    <w:rsid w:val="00D4368F"/>
    <w:rsid w:val="00D43FCD"/>
    <w:rsid w:val="00D441EE"/>
    <w:rsid w:val="00D52F81"/>
    <w:rsid w:val="00D6404D"/>
    <w:rsid w:val="00D6590A"/>
    <w:rsid w:val="00D81671"/>
    <w:rsid w:val="00D816A4"/>
    <w:rsid w:val="00D90A86"/>
    <w:rsid w:val="00D93C2F"/>
    <w:rsid w:val="00DA12DD"/>
    <w:rsid w:val="00DA1798"/>
    <w:rsid w:val="00DA36AC"/>
    <w:rsid w:val="00DB19BD"/>
    <w:rsid w:val="00DB2013"/>
    <w:rsid w:val="00DB313B"/>
    <w:rsid w:val="00DC1C39"/>
    <w:rsid w:val="00DC46D6"/>
    <w:rsid w:val="00DC5ADE"/>
    <w:rsid w:val="00DC6ACF"/>
    <w:rsid w:val="00DC7D7C"/>
    <w:rsid w:val="00DD2A6C"/>
    <w:rsid w:val="00DD44EC"/>
    <w:rsid w:val="00DE30A9"/>
    <w:rsid w:val="00DE3E8C"/>
    <w:rsid w:val="00DE4A5D"/>
    <w:rsid w:val="00DE60B1"/>
    <w:rsid w:val="00DE6BE8"/>
    <w:rsid w:val="00DF224E"/>
    <w:rsid w:val="00E035C3"/>
    <w:rsid w:val="00E04822"/>
    <w:rsid w:val="00E111C6"/>
    <w:rsid w:val="00E11489"/>
    <w:rsid w:val="00E138B1"/>
    <w:rsid w:val="00E20335"/>
    <w:rsid w:val="00E227E1"/>
    <w:rsid w:val="00E33358"/>
    <w:rsid w:val="00E33365"/>
    <w:rsid w:val="00E33796"/>
    <w:rsid w:val="00E34D18"/>
    <w:rsid w:val="00E4051C"/>
    <w:rsid w:val="00E42165"/>
    <w:rsid w:val="00E44974"/>
    <w:rsid w:val="00E524F4"/>
    <w:rsid w:val="00E52578"/>
    <w:rsid w:val="00E54F3F"/>
    <w:rsid w:val="00E561D5"/>
    <w:rsid w:val="00E57948"/>
    <w:rsid w:val="00E606A9"/>
    <w:rsid w:val="00E62D32"/>
    <w:rsid w:val="00E62F49"/>
    <w:rsid w:val="00E631D9"/>
    <w:rsid w:val="00E63F88"/>
    <w:rsid w:val="00E64B83"/>
    <w:rsid w:val="00E64C4D"/>
    <w:rsid w:val="00E66F51"/>
    <w:rsid w:val="00E67143"/>
    <w:rsid w:val="00E67B4A"/>
    <w:rsid w:val="00E73875"/>
    <w:rsid w:val="00E76C9E"/>
    <w:rsid w:val="00E77821"/>
    <w:rsid w:val="00E829DD"/>
    <w:rsid w:val="00E83F89"/>
    <w:rsid w:val="00E86484"/>
    <w:rsid w:val="00E86DA2"/>
    <w:rsid w:val="00E90F5B"/>
    <w:rsid w:val="00E94EE6"/>
    <w:rsid w:val="00EA3ED0"/>
    <w:rsid w:val="00EA3F6E"/>
    <w:rsid w:val="00EA51A6"/>
    <w:rsid w:val="00EA66A6"/>
    <w:rsid w:val="00EB7E96"/>
    <w:rsid w:val="00EC04CD"/>
    <w:rsid w:val="00EC50AD"/>
    <w:rsid w:val="00EC7773"/>
    <w:rsid w:val="00ED1518"/>
    <w:rsid w:val="00EE1067"/>
    <w:rsid w:val="00EE1303"/>
    <w:rsid w:val="00EE526D"/>
    <w:rsid w:val="00EE743C"/>
    <w:rsid w:val="00EE7866"/>
    <w:rsid w:val="00EF6131"/>
    <w:rsid w:val="00EF7897"/>
    <w:rsid w:val="00F00BA5"/>
    <w:rsid w:val="00F01F30"/>
    <w:rsid w:val="00F02497"/>
    <w:rsid w:val="00F0609A"/>
    <w:rsid w:val="00F061AC"/>
    <w:rsid w:val="00F06650"/>
    <w:rsid w:val="00F11D7B"/>
    <w:rsid w:val="00F146B1"/>
    <w:rsid w:val="00F257A4"/>
    <w:rsid w:val="00F25FB4"/>
    <w:rsid w:val="00F27C96"/>
    <w:rsid w:val="00F3553E"/>
    <w:rsid w:val="00F36605"/>
    <w:rsid w:val="00F36FBF"/>
    <w:rsid w:val="00F4054D"/>
    <w:rsid w:val="00F43190"/>
    <w:rsid w:val="00F43671"/>
    <w:rsid w:val="00F44621"/>
    <w:rsid w:val="00F4545A"/>
    <w:rsid w:val="00F53B7C"/>
    <w:rsid w:val="00F544FD"/>
    <w:rsid w:val="00F62F50"/>
    <w:rsid w:val="00F631C9"/>
    <w:rsid w:val="00F66185"/>
    <w:rsid w:val="00F66A68"/>
    <w:rsid w:val="00F7230D"/>
    <w:rsid w:val="00F7644D"/>
    <w:rsid w:val="00F81000"/>
    <w:rsid w:val="00F85939"/>
    <w:rsid w:val="00F90712"/>
    <w:rsid w:val="00F91AD1"/>
    <w:rsid w:val="00F93A55"/>
    <w:rsid w:val="00F94C98"/>
    <w:rsid w:val="00FA2B45"/>
    <w:rsid w:val="00FA4D87"/>
    <w:rsid w:val="00FC0D7B"/>
    <w:rsid w:val="00FC1845"/>
    <w:rsid w:val="00FC1B13"/>
    <w:rsid w:val="00FC2CB1"/>
    <w:rsid w:val="00FC4899"/>
    <w:rsid w:val="00FC48CD"/>
    <w:rsid w:val="00FC7F5B"/>
    <w:rsid w:val="00FE09C9"/>
    <w:rsid w:val="00FE162E"/>
    <w:rsid w:val="00FE250A"/>
    <w:rsid w:val="00FE4031"/>
    <w:rsid w:val="00FF3BED"/>
    <w:rsid w:val="00FF473E"/>
    <w:rsid w:val="00FF7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E5649"/>
  <w15:docId w15:val="{5BD25256-DE3A-4C84-83F3-DBDAA06F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4F4"/>
    <w:pPr>
      <w:suppressAutoHyphens/>
      <w:spacing w:after="0" w:line="240" w:lineRule="auto"/>
      <w:jc w:val="both"/>
    </w:pPr>
    <w:rPr>
      <w:rFonts w:ascii="Times New Roman" w:eastAsia="Times New Roman" w:hAnsi="Times New Roman" w:cs="Times New Roman"/>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24F4"/>
    <w:pPr>
      <w:ind w:left="720"/>
    </w:pPr>
  </w:style>
  <w:style w:type="paragraph" w:customStyle="1" w:styleId="Default">
    <w:name w:val="Default"/>
    <w:rsid w:val="00E524F4"/>
    <w:pPr>
      <w:autoSpaceDE w:val="0"/>
      <w:autoSpaceDN w:val="0"/>
      <w:adjustRightInd w:val="0"/>
      <w:spacing w:after="0" w:line="240" w:lineRule="auto"/>
    </w:pPr>
    <w:rPr>
      <w:rFonts w:ascii="Bookman Old Style" w:eastAsia="Times New Roman" w:hAnsi="Bookman Old Style" w:cs="Bookman Old Style"/>
      <w:color w:val="000000"/>
      <w:sz w:val="24"/>
      <w:szCs w:val="24"/>
      <w:lang w:eastAsia="fr-FR"/>
    </w:rPr>
  </w:style>
  <w:style w:type="paragraph" w:styleId="Textedebulles">
    <w:name w:val="Balloon Text"/>
    <w:basedOn w:val="Normal"/>
    <w:link w:val="TextedebullesCar"/>
    <w:uiPriority w:val="99"/>
    <w:semiHidden/>
    <w:unhideWhenUsed/>
    <w:rsid w:val="00DD44EC"/>
    <w:rPr>
      <w:rFonts w:ascii="Tahoma" w:hAnsi="Tahoma" w:cs="Tahoma"/>
      <w:sz w:val="16"/>
      <w:szCs w:val="16"/>
    </w:rPr>
  </w:style>
  <w:style w:type="character" w:customStyle="1" w:styleId="TextedebullesCar">
    <w:name w:val="Texte de bulles Car"/>
    <w:basedOn w:val="Policepardfaut"/>
    <w:link w:val="Textedebulles"/>
    <w:uiPriority w:val="99"/>
    <w:semiHidden/>
    <w:rsid w:val="00DD44EC"/>
    <w:rPr>
      <w:rFonts w:ascii="Tahoma" w:eastAsia="Times New Roman" w:hAnsi="Tahoma" w:cs="Tahoma"/>
      <w:sz w:val="16"/>
      <w:szCs w:val="16"/>
      <w:lang w:eastAsia="zh-CN"/>
    </w:rPr>
  </w:style>
  <w:style w:type="character" w:styleId="Marquedecommentaire">
    <w:name w:val="annotation reference"/>
    <w:basedOn w:val="Policepardfaut"/>
    <w:uiPriority w:val="99"/>
    <w:semiHidden/>
    <w:unhideWhenUsed/>
    <w:rsid w:val="000568ED"/>
    <w:rPr>
      <w:sz w:val="16"/>
      <w:szCs w:val="16"/>
    </w:rPr>
  </w:style>
  <w:style w:type="paragraph" w:styleId="Commentaire">
    <w:name w:val="annotation text"/>
    <w:basedOn w:val="Normal"/>
    <w:link w:val="CommentaireCar"/>
    <w:uiPriority w:val="99"/>
    <w:unhideWhenUsed/>
    <w:rsid w:val="000568ED"/>
    <w:rPr>
      <w:sz w:val="20"/>
    </w:rPr>
  </w:style>
  <w:style w:type="character" w:customStyle="1" w:styleId="CommentaireCar">
    <w:name w:val="Commentaire Car"/>
    <w:basedOn w:val="Policepardfaut"/>
    <w:link w:val="Commentaire"/>
    <w:uiPriority w:val="99"/>
    <w:rsid w:val="000568ED"/>
    <w:rPr>
      <w:rFonts w:ascii="Times New Roman" w:eastAsia="Times New Roman" w:hAnsi="Times New Roman" w:cs="Times New Roman"/>
      <w:sz w:val="20"/>
      <w:szCs w:val="20"/>
      <w:lang w:eastAsia="zh-CN"/>
    </w:rPr>
  </w:style>
  <w:style w:type="paragraph" w:styleId="Objetducommentaire">
    <w:name w:val="annotation subject"/>
    <w:basedOn w:val="Commentaire"/>
    <w:next w:val="Commentaire"/>
    <w:link w:val="ObjetducommentaireCar"/>
    <w:uiPriority w:val="99"/>
    <w:semiHidden/>
    <w:unhideWhenUsed/>
    <w:rsid w:val="000568ED"/>
    <w:rPr>
      <w:b/>
      <w:bCs/>
    </w:rPr>
  </w:style>
  <w:style w:type="character" w:customStyle="1" w:styleId="ObjetducommentaireCar">
    <w:name w:val="Objet du commentaire Car"/>
    <w:basedOn w:val="CommentaireCar"/>
    <w:link w:val="Objetducommentaire"/>
    <w:uiPriority w:val="99"/>
    <w:semiHidden/>
    <w:rsid w:val="000568ED"/>
    <w:rPr>
      <w:rFonts w:ascii="Times New Roman" w:eastAsia="Times New Roman" w:hAnsi="Times New Roman" w:cs="Times New Roman"/>
      <w:b/>
      <w:bCs/>
      <w:sz w:val="20"/>
      <w:szCs w:val="20"/>
      <w:lang w:eastAsia="zh-CN"/>
    </w:rPr>
  </w:style>
  <w:style w:type="table" w:styleId="Grilledutableau">
    <w:name w:val="Table Grid"/>
    <w:basedOn w:val="TableauNormal"/>
    <w:uiPriority w:val="59"/>
    <w:rsid w:val="00632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D745B"/>
    <w:rPr>
      <w:sz w:val="20"/>
    </w:rPr>
  </w:style>
  <w:style w:type="character" w:customStyle="1" w:styleId="NotedebasdepageCar">
    <w:name w:val="Note de bas de page Car"/>
    <w:basedOn w:val="Policepardfaut"/>
    <w:link w:val="Notedebasdepage"/>
    <w:uiPriority w:val="99"/>
    <w:semiHidden/>
    <w:rsid w:val="000D745B"/>
    <w:rPr>
      <w:rFonts w:ascii="Times New Roman" w:eastAsia="Times New Roman" w:hAnsi="Times New Roman" w:cs="Times New Roman"/>
      <w:sz w:val="20"/>
      <w:szCs w:val="20"/>
      <w:lang w:eastAsia="zh-CN"/>
    </w:rPr>
  </w:style>
  <w:style w:type="character" w:styleId="Appelnotedebasdep">
    <w:name w:val="footnote reference"/>
    <w:basedOn w:val="Policepardfaut"/>
    <w:uiPriority w:val="99"/>
    <w:semiHidden/>
    <w:unhideWhenUsed/>
    <w:rsid w:val="000D745B"/>
    <w:rPr>
      <w:vertAlign w:val="superscript"/>
    </w:rPr>
  </w:style>
  <w:style w:type="character" w:styleId="Lienhypertexte">
    <w:name w:val="Hyperlink"/>
    <w:basedOn w:val="Policepardfaut"/>
    <w:uiPriority w:val="99"/>
    <w:unhideWhenUsed/>
    <w:rsid w:val="000D745B"/>
    <w:rPr>
      <w:color w:val="0000FF" w:themeColor="hyperlink"/>
      <w:u w:val="single"/>
    </w:rPr>
  </w:style>
  <w:style w:type="character" w:styleId="Lienhypertextesuivivisit">
    <w:name w:val="FollowedHyperlink"/>
    <w:basedOn w:val="Policepardfaut"/>
    <w:uiPriority w:val="99"/>
    <w:semiHidden/>
    <w:unhideWhenUsed/>
    <w:rsid w:val="000D745B"/>
    <w:rPr>
      <w:color w:val="800080" w:themeColor="followedHyperlink"/>
      <w:u w:val="single"/>
    </w:rPr>
  </w:style>
  <w:style w:type="paragraph" w:styleId="En-tte">
    <w:name w:val="header"/>
    <w:basedOn w:val="Normal"/>
    <w:link w:val="En-tteCar"/>
    <w:uiPriority w:val="99"/>
    <w:unhideWhenUsed/>
    <w:rsid w:val="00FC1845"/>
    <w:pPr>
      <w:tabs>
        <w:tab w:val="center" w:pos="4536"/>
        <w:tab w:val="right" w:pos="9072"/>
      </w:tabs>
    </w:pPr>
  </w:style>
  <w:style w:type="character" w:customStyle="1" w:styleId="En-tteCar">
    <w:name w:val="En-tête Car"/>
    <w:basedOn w:val="Policepardfaut"/>
    <w:link w:val="En-tte"/>
    <w:uiPriority w:val="99"/>
    <w:rsid w:val="00FC1845"/>
    <w:rPr>
      <w:rFonts w:ascii="Times New Roman" w:eastAsia="Times New Roman" w:hAnsi="Times New Roman" w:cs="Times New Roman"/>
      <w:szCs w:val="20"/>
      <w:lang w:eastAsia="zh-CN"/>
    </w:rPr>
  </w:style>
  <w:style w:type="paragraph" w:styleId="Pieddepage">
    <w:name w:val="footer"/>
    <w:basedOn w:val="Normal"/>
    <w:link w:val="PieddepageCar"/>
    <w:uiPriority w:val="99"/>
    <w:unhideWhenUsed/>
    <w:rsid w:val="00FC1845"/>
    <w:pPr>
      <w:tabs>
        <w:tab w:val="center" w:pos="4536"/>
        <w:tab w:val="right" w:pos="9072"/>
      </w:tabs>
    </w:pPr>
  </w:style>
  <w:style w:type="character" w:customStyle="1" w:styleId="PieddepageCar">
    <w:name w:val="Pied de page Car"/>
    <w:basedOn w:val="Policepardfaut"/>
    <w:link w:val="Pieddepage"/>
    <w:uiPriority w:val="99"/>
    <w:rsid w:val="00FC1845"/>
    <w:rPr>
      <w:rFonts w:ascii="Times New Roman" w:eastAsia="Times New Roman" w:hAnsi="Times New Roman" w:cs="Times New Roman"/>
      <w:szCs w:val="20"/>
      <w:lang w:eastAsia="zh-CN"/>
    </w:rPr>
  </w:style>
  <w:style w:type="character" w:styleId="lev">
    <w:name w:val="Strong"/>
    <w:basedOn w:val="Policepardfaut"/>
    <w:uiPriority w:val="22"/>
    <w:qFormat/>
    <w:rsid w:val="00ED1518"/>
    <w:rPr>
      <w:b/>
      <w:bCs/>
    </w:rPr>
  </w:style>
  <w:style w:type="character" w:customStyle="1" w:styleId="no-parag">
    <w:name w:val="no-parag"/>
    <w:basedOn w:val="Policepardfaut"/>
    <w:rsid w:val="00676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5894">
      <w:bodyDiv w:val="1"/>
      <w:marLeft w:val="0"/>
      <w:marRight w:val="0"/>
      <w:marTop w:val="0"/>
      <w:marBottom w:val="0"/>
      <w:divBdr>
        <w:top w:val="none" w:sz="0" w:space="0" w:color="auto"/>
        <w:left w:val="none" w:sz="0" w:space="0" w:color="auto"/>
        <w:bottom w:val="none" w:sz="0" w:space="0" w:color="auto"/>
        <w:right w:val="none" w:sz="0" w:space="0" w:color="auto"/>
      </w:divBdr>
    </w:div>
    <w:div w:id="78914958">
      <w:bodyDiv w:val="1"/>
      <w:marLeft w:val="0"/>
      <w:marRight w:val="0"/>
      <w:marTop w:val="0"/>
      <w:marBottom w:val="0"/>
      <w:divBdr>
        <w:top w:val="none" w:sz="0" w:space="0" w:color="auto"/>
        <w:left w:val="none" w:sz="0" w:space="0" w:color="auto"/>
        <w:bottom w:val="none" w:sz="0" w:space="0" w:color="auto"/>
        <w:right w:val="none" w:sz="0" w:space="0" w:color="auto"/>
      </w:divBdr>
    </w:div>
    <w:div w:id="100730754">
      <w:bodyDiv w:val="1"/>
      <w:marLeft w:val="0"/>
      <w:marRight w:val="0"/>
      <w:marTop w:val="0"/>
      <w:marBottom w:val="0"/>
      <w:divBdr>
        <w:top w:val="none" w:sz="0" w:space="0" w:color="auto"/>
        <w:left w:val="none" w:sz="0" w:space="0" w:color="auto"/>
        <w:bottom w:val="none" w:sz="0" w:space="0" w:color="auto"/>
        <w:right w:val="none" w:sz="0" w:space="0" w:color="auto"/>
      </w:divBdr>
    </w:div>
    <w:div w:id="281159815">
      <w:bodyDiv w:val="1"/>
      <w:marLeft w:val="0"/>
      <w:marRight w:val="0"/>
      <w:marTop w:val="0"/>
      <w:marBottom w:val="0"/>
      <w:divBdr>
        <w:top w:val="none" w:sz="0" w:space="0" w:color="auto"/>
        <w:left w:val="none" w:sz="0" w:space="0" w:color="auto"/>
        <w:bottom w:val="none" w:sz="0" w:space="0" w:color="auto"/>
        <w:right w:val="none" w:sz="0" w:space="0" w:color="auto"/>
      </w:divBdr>
    </w:div>
    <w:div w:id="431633447">
      <w:bodyDiv w:val="1"/>
      <w:marLeft w:val="0"/>
      <w:marRight w:val="0"/>
      <w:marTop w:val="0"/>
      <w:marBottom w:val="0"/>
      <w:divBdr>
        <w:top w:val="none" w:sz="0" w:space="0" w:color="auto"/>
        <w:left w:val="none" w:sz="0" w:space="0" w:color="auto"/>
        <w:bottom w:val="none" w:sz="0" w:space="0" w:color="auto"/>
        <w:right w:val="none" w:sz="0" w:space="0" w:color="auto"/>
      </w:divBdr>
    </w:div>
    <w:div w:id="597258226">
      <w:bodyDiv w:val="1"/>
      <w:marLeft w:val="0"/>
      <w:marRight w:val="0"/>
      <w:marTop w:val="0"/>
      <w:marBottom w:val="0"/>
      <w:divBdr>
        <w:top w:val="none" w:sz="0" w:space="0" w:color="auto"/>
        <w:left w:val="none" w:sz="0" w:space="0" w:color="auto"/>
        <w:bottom w:val="none" w:sz="0" w:space="0" w:color="auto"/>
        <w:right w:val="none" w:sz="0" w:space="0" w:color="auto"/>
      </w:divBdr>
    </w:div>
    <w:div w:id="604534162">
      <w:bodyDiv w:val="1"/>
      <w:marLeft w:val="0"/>
      <w:marRight w:val="0"/>
      <w:marTop w:val="0"/>
      <w:marBottom w:val="0"/>
      <w:divBdr>
        <w:top w:val="none" w:sz="0" w:space="0" w:color="auto"/>
        <w:left w:val="none" w:sz="0" w:space="0" w:color="auto"/>
        <w:bottom w:val="none" w:sz="0" w:space="0" w:color="auto"/>
        <w:right w:val="none" w:sz="0" w:space="0" w:color="auto"/>
      </w:divBdr>
    </w:div>
    <w:div w:id="614488031">
      <w:bodyDiv w:val="1"/>
      <w:marLeft w:val="0"/>
      <w:marRight w:val="0"/>
      <w:marTop w:val="0"/>
      <w:marBottom w:val="0"/>
      <w:divBdr>
        <w:top w:val="none" w:sz="0" w:space="0" w:color="auto"/>
        <w:left w:val="none" w:sz="0" w:space="0" w:color="auto"/>
        <w:bottom w:val="none" w:sz="0" w:space="0" w:color="auto"/>
        <w:right w:val="none" w:sz="0" w:space="0" w:color="auto"/>
      </w:divBdr>
    </w:div>
    <w:div w:id="1098909405">
      <w:bodyDiv w:val="1"/>
      <w:marLeft w:val="0"/>
      <w:marRight w:val="0"/>
      <w:marTop w:val="0"/>
      <w:marBottom w:val="0"/>
      <w:divBdr>
        <w:top w:val="none" w:sz="0" w:space="0" w:color="auto"/>
        <w:left w:val="none" w:sz="0" w:space="0" w:color="auto"/>
        <w:bottom w:val="none" w:sz="0" w:space="0" w:color="auto"/>
        <w:right w:val="none" w:sz="0" w:space="0" w:color="auto"/>
      </w:divBdr>
    </w:div>
    <w:div w:id="1246694742">
      <w:bodyDiv w:val="1"/>
      <w:marLeft w:val="0"/>
      <w:marRight w:val="0"/>
      <w:marTop w:val="0"/>
      <w:marBottom w:val="0"/>
      <w:divBdr>
        <w:top w:val="none" w:sz="0" w:space="0" w:color="auto"/>
        <w:left w:val="none" w:sz="0" w:space="0" w:color="auto"/>
        <w:bottom w:val="none" w:sz="0" w:space="0" w:color="auto"/>
        <w:right w:val="none" w:sz="0" w:space="0" w:color="auto"/>
      </w:divBdr>
      <w:divsChild>
        <w:div w:id="157620938">
          <w:marLeft w:val="0"/>
          <w:marRight w:val="0"/>
          <w:marTop w:val="0"/>
          <w:marBottom w:val="0"/>
          <w:divBdr>
            <w:top w:val="none" w:sz="0" w:space="0" w:color="auto"/>
            <w:left w:val="none" w:sz="0" w:space="0" w:color="auto"/>
            <w:bottom w:val="none" w:sz="0" w:space="0" w:color="auto"/>
            <w:right w:val="none" w:sz="0" w:space="0" w:color="auto"/>
          </w:divBdr>
          <w:divsChild>
            <w:div w:id="3526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9153">
      <w:bodyDiv w:val="1"/>
      <w:marLeft w:val="0"/>
      <w:marRight w:val="0"/>
      <w:marTop w:val="0"/>
      <w:marBottom w:val="0"/>
      <w:divBdr>
        <w:top w:val="none" w:sz="0" w:space="0" w:color="auto"/>
        <w:left w:val="none" w:sz="0" w:space="0" w:color="auto"/>
        <w:bottom w:val="none" w:sz="0" w:space="0" w:color="auto"/>
        <w:right w:val="none" w:sz="0" w:space="0" w:color="auto"/>
      </w:divBdr>
    </w:div>
    <w:div w:id="1654526096">
      <w:bodyDiv w:val="1"/>
      <w:marLeft w:val="0"/>
      <w:marRight w:val="0"/>
      <w:marTop w:val="0"/>
      <w:marBottom w:val="0"/>
      <w:divBdr>
        <w:top w:val="none" w:sz="0" w:space="0" w:color="auto"/>
        <w:left w:val="none" w:sz="0" w:space="0" w:color="auto"/>
        <w:bottom w:val="none" w:sz="0" w:space="0" w:color="auto"/>
        <w:right w:val="none" w:sz="0" w:space="0" w:color="auto"/>
      </w:divBdr>
    </w:div>
    <w:div w:id="1721514198">
      <w:bodyDiv w:val="1"/>
      <w:marLeft w:val="0"/>
      <w:marRight w:val="0"/>
      <w:marTop w:val="0"/>
      <w:marBottom w:val="0"/>
      <w:divBdr>
        <w:top w:val="none" w:sz="0" w:space="0" w:color="auto"/>
        <w:left w:val="none" w:sz="0" w:space="0" w:color="auto"/>
        <w:bottom w:val="none" w:sz="0" w:space="0" w:color="auto"/>
        <w:right w:val="none" w:sz="0" w:space="0" w:color="auto"/>
      </w:divBdr>
    </w:div>
    <w:div w:id="1963684197">
      <w:bodyDiv w:val="1"/>
      <w:marLeft w:val="0"/>
      <w:marRight w:val="0"/>
      <w:marTop w:val="0"/>
      <w:marBottom w:val="0"/>
      <w:divBdr>
        <w:top w:val="none" w:sz="0" w:space="0" w:color="auto"/>
        <w:left w:val="none" w:sz="0" w:space="0" w:color="auto"/>
        <w:bottom w:val="none" w:sz="0" w:space="0" w:color="auto"/>
        <w:right w:val="none" w:sz="0" w:space="0" w:color="auto"/>
      </w:divBdr>
    </w:div>
    <w:div w:id="2134277989">
      <w:bodyDiv w:val="1"/>
      <w:marLeft w:val="0"/>
      <w:marRight w:val="0"/>
      <w:marTop w:val="0"/>
      <w:marBottom w:val="0"/>
      <w:divBdr>
        <w:top w:val="none" w:sz="0" w:space="0" w:color="auto"/>
        <w:left w:val="none" w:sz="0" w:space="0" w:color="auto"/>
        <w:bottom w:val="none" w:sz="0" w:space="0" w:color="auto"/>
        <w:right w:val="none" w:sz="0" w:space="0" w:color="auto"/>
      </w:divBdr>
      <w:divsChild>
        <w:div w:id="158811151">
          <w:marLeft w:val="0"/>
          <w:marRight w:val="0"/>
          <w:marTop w:val="0"/>
          <w:marBottom w:val="0"/>
          <w:divBdr>
            <w:top w:val="none" w:sz="0" w:space="0" w:color="auto"/>
            <w:left w:val="none" w:sz="0" w:space="0" w:color="auto"/>
            <w:bottom w:val="none" w:sz="0" w:space="0" w:color="auto"/>
            <w:right w:val="none" w:sz="0" w:space="0" w:color="auto"/>
          </w:divBdr>
        </w:div>
        <w:div w:id="307591408">
          <w:marLeft w:val="0"/>
          <w:marRight w:val="0"/>
          <w:marTop w:val="0"/>
          <w:marBottom w:val="0"/>
          <w:divBdr>
            <w:top w:val="none" w:sz="0" w:space="0" w:color="auto"/>
            <w:left w:val="none" w:sz="0" w:space="0" w:color="auto"/>
            <w:bottom w:val="none" w:sz="0" w:space="0" w:color="auto"/>
            <w:right w:val="none" w:sz="0" w:space="0" w:color="auto"/>
          </w:divBdr>
        </w:div>
        <w:div w:id="329606371">
          <w:marLeft w:val="0"/>
          <w:marRight w:val="0"/>
          <w:marTop w:val="0"/>
          <w:marBottom w:val="0"/>
          <w:divBdr>
            <w:top w:val="none" w:sz="0" w:space="0" w:color="auto"/>
            <w:left w:val="none" w:sz="0" w:space="0" w:color="auto"/>
            <w:bottom w:val="none" w:sz="0" w:space="0" w:color="auto"/>
            <w:right w:val="none" w:sz="0" w:space="0" w:color="auto"/>
          </w:divBdr>
        </w:div>
        <w:div w:id="472916108">
          <w:marLeft w:val="0"/>
          <w:marRight w:val="0"/>
          <w:marTop w:val="0"/>
          <w:marBottom w:val="0"/>
          <w:divBdr>
            <w:top w:val="none" w:sz="0" w:space="0" w:color="auto"/>
            <w:left w:val="none" w:sz="0" w:space="0" w:color="auto"/>
            <w:bottom w:val="none" w:sz="0" w:space="0" w:color="auto"/>
            <w:right w:val="none" w:sz="0" w:space="0" w:color="auto"/>
          </w:divBdr>
        </w:div>
        <w:div w:id="598759234">
          <w:marLeft w:val="0"/>
          <w:marRight w:val="0"/>
          <w:marTop w:val="0"/>
          <w:marBottom w:val="0"/>
          <w:divBdr>
            <w:top w:val="none" w:sz="0" w:space="0" w:color="auto"/>
            <w:left w:val="none" w:sz="0" w:space="0" w:color="auto"/>
            <w:bottom w:val="none" w:sz="0" w:space="0" w:color="auto"/>
            <w:right w:val="none" w:sz="0" w:space="0" w:color="auto"/>
          </w:divBdr>
        </w:div>
        <w:div w:id="628435559">
          <w:marLeft w:val="0"/>
          <w:marRight w:val="0"/>
          <w:marTop w:val="0"/>
          <w:marBottom w:val="0"/>
          <w:divBdr>
            <w:top w:val="none" w:sz="0" w:space="0" w:color="auto"/>
            <w:left w:val="none" w:sz="0" w:space="0" w:color="auto"/>
            <w:bottom w:val="none" w:sz="0" w:space="0" w:color="auto"/>
            <w:right w:val="none" w:sz="0" w:space="0" w:color="auto"/>
          </w:divBdr>
        </w:div>
        <w:div w:id="639311458">
          <w:marLeft w:val="0"/>
          <w:marRight w:val="0"/>
          <w:marTop w:val="0"/>
          <w:marBottom w:val="0"/>
          <w:divBdr>
            <w:top w:val="none" w:sz="0" w:space="0" w:color="auto"/>
            <w:left w:val="none" w:sz="0" w:space="0" w:color="auto"/>
            <w:bottom w:val="none" w:sz="0" w:space="0" w:color="auto"/>
            <w:right w:val="none" w:sz="0" w:space="0" w:color="auto"/>
          </w:divBdr>
        </w:div>
        <w:div w:id="641495988">
          <w:marLeft w:val="0"/>
          <w:marRight w:val="0"/>
          <w:marTop w:val="0"/>
          <w:marBottom w:val="0"/>
          <w:divBdr>
            <w:top w:val="none" w:sz="0" w:space="0" w:color="auto"/>
            <w:left w:val="none" w:sz="0" w:space="0" w:color="auto"/>
            <w:bottom w:val="none" w:sz="0" w:space="0" w:color="auto"/>
            <w:right w:val="none" w:sz="0" w:space="0" w:color="auto"/>
          </w:divBdr>
        </w:div>
        <w:div w:id="685911478">
          <w:marLeft w:val="0"/>
          <w:marRight w:val="0"/>
          <w:marTop w:val="0"/>
          <w:marBottom w:val="0"/>
          <w:divBdr>
            <w:top w:val="none" w:sz="0" w:space="0" w:color="auto"/>
            <w:left w:val="none" w:sz="0" w:space="0" w:color="auto"/>
            <w:bottom w:val="none" w:sz="0" w:space="0" w:color="auto"/>
            <w:right w:val="none" w:sz="0" w:space="0" w:color="auto"/>
          </w:divBdr>
        </w:div>
        <w:div w:id="692658391">
          <w:marLeft w:val="0"/>
          <w:marRight w:val="0"/>
          <w:marTop w:val="0"/>
          <w:marBottom w:val="0"/>
          <w:divBdr>
            <w:top w:val="none" w:sz="0" w:space="0" w:color="auto"/>
            <w:left w:val="none" w:sz="0" w:space="0" w:color="auto"/>
            <w:bottom w:val="none" w:sz="0" w:space="0" w:color="auto"/>
            <w:right w:val="none" w:sz="0" w:space="0" w:color="auto"/>
          </w:divBdr>
        </w:div>
        <w:div w:id="817766275">
          <w:marLeft w:val="0"/>
          <w:marRight w:val="0"/>
          <w:marTop w:val="0"/>
          <w:marBottom w:val="0"/>
          <w:divBdr>
            <w:top w:val="none" w:sz="0" w:space="0" w:color="auto"/>
            <w:left w:val="none" w:sz="0" w:space="0" w:color="auto"/>
            <w:bottom w:val="none" w:sz="0" w:space="0" w:color="auto"/>
            <w:right w:val="none" w:sz="0" w:space="0" w:color="auto"/>
          </w:divBdr>
        </w:div>
        <w:div w:id="826172097">
          <w:marLeft w:val="0"/>
          <w:marRight w:val="0"/>
          <w:marTop w:val="0"/>
          <w:marBottom w:val="0"/>
          <w:divBdr>
            <w:top w:val="none" w:sz="0" w:space="0" w:color="auto"/>
            <w:left w:val="none" w:sz="0" w:space="0" w:color="auto"/>
            <w:bottom w:val="none" w:sz="0" w:space="0" w:color="auto"/>
            <w:right w:val="none" w:sz="0" w:space="0" w:color="auto"/>
          </w:divBdr>
        </w:div>
        <w:div w:id="842670838">
          <w:marLeft w:val="0"/>
          <w:marRight w:val="0"/>
          <w:marTop w:val="0"/>
          <w:marBottom w:val="0"/>
          <w:divBdr>
            <w:top w:val="none" w:sz="0" w:space="0" w:color="auto"/>
            <w:left w:val="none" w:sz="0" w:space="0" w:color="auto"/>
            <w:bottom w:val="none" w:sz="0" w:space="0" w:color="auto"/>
            <w:right w:val="none" w:sz="0" w:space="0" w:color="auto"/>
          </w:divBdr>
        </w:div>
        <w:div w:id="880167332">
          <w:marLeft w:val="0"/>
          <w:marRight w:val="0"/>
          <w:marTop w:val="0"/>
          <w:marBottom w:val="0"/>
          <w:divBdr>
            <w:top w:val="none" w:sz="0" w:space="0" w:color="auto"/>
            <w:left w:val="none" w:sz="0" w:space="0" w:color="auto"/>
            <w:bottom w:val="none" w:sz="0" w:space="0" w:color="auto"/>
            <w:right w:val="none" w:sz="0" w:space="0" w:color="auto"/>
          </w:divBdr>
        </w:div>
        <w:div w:id="937754883">
          <w:marLeft w:val="0"/>
          <w:marRight w:val="0"/>
          <w:marTop w:val="0"/>
          <w:marBottom w:val="0"/>
          <w:divBdr>
            <w:top w:val="none" w:sz="0" w:space="0" w:color="auto"/>
            <w:left w:val="none" w:sz="0" w:space="0" w:color="auto"/>
            <w:bottom w:val="none" w:sz="0" w:space="0" w:color="auto"/>
            <w:right w:val="none" w:sz="0" w:space="0" w:color="auto"/>
          </w:divBdr>
        </w:div>
        <w:div w:id="959845387">
          <w:marLeft w:val="0"/>
          <w:marRight w:val="0"/>
          <w:marTop w:val="0"/>
          <w:marBottom w:val="0"/>
          <w:divBdr>
            <w:top w:val="none" w:sz="0" w:space="0" w:color="auto"/>
            <w:left w:val="none" w:sz="0" w:space="0" w:color="auto"/>
            <w:bottom w:val="none" w:sz="0" w:space="0" w:color="auto"/>
            <w:right w:val="none" w:sz="0" w:space="0" w:color="auto"/>
          </w:divBdr>
        </w:div>
        <w:div w:id="1014307888">
          <w:marLeft w:val="0"/>
          <w:marRight w:val="0"/>
          <w:marTop w:val="0"/>
          <w:marBottom w:val="0"/>
          <w:divBdr>
            <w:top w:val="none" w:sz="0" w:space="0" w:color="auto"/>
            <w:left w:val="none" w:sz="0" w:space="0" w:color="auto"/>
            <w:bottom w:val="none" w:sz="0" w:space="0" w:color="auto"/>
            <w:right w:val="none" w:sz="0" w:space="0" w:color="auto"/>
          </w:divBdr>
        </w:div>
        <w:div w:id="1039670006">
          <w:marLeft w:val="0"/>
          <w:marRight w:val="0"/>
          <w:marTop w:val="0"/>
          <w:marBottom w:val="0"/>
          <w:divBdr>
            <w:top w:val="none" w:sz="0" w:space="0" w:color="auto"/>
            <w:left w:val="none" w:sz="0" w:space="0" w:color="auto"/>
            <w:bottom w:val="none" w:sz="0" w:space="0" w:color="auto"/>
            <w:right w:val="none" w:sz="0" w:space="0" w:color="auto"/>
          </w:divBdr>
        </w:div>
        <w:div w:id="1071657872">
          <w:marLeft w:val="0"/>
          <w:marRight w:val="0"/>
          <w:marTop w:val="0"/>
          <w:marBottom w:val="0"/>
          <w:divBdr>
            <w:top w:val="none" w:sz="0" w:space="0" w:color="auto"/>
            <w:left w:val="none" w:sz="0" w:space="0" w:color="auto"/>
            <w:bottom w:val="none" w:sz="0" w:space="0" w:color="auto"/>
            <w:right w:val="none" w:sz="0" w:space="0" w:color="auto"/>
          </w:divBdr>
        </w:div>
        <w:div w:id="1080517849">
          <w:marLeft w:val="0"/>
          <w:marRight w:val="0"/>
          <w:marTop w:val="0"/>
          <w:marBottom w:val="0"/>
          <w:divBdr>
            <w:top w:val="none" w:sz="0" w:space="0" w:color="auto"/>
            <w:left w:val="none" w:sz="0" w:space="0" w:color="auto"/>
            <w:bottom w:val="none" w:sz="0" w:space="0" w:color="auto"/>
            <w:right w:val="none" w:sz="0" w:space="0" w:color="auto"/>
          </w:divBdr>
        </w:div>
        <w:div w:id="1148353372">
          <w:marLeft w:val="0"/>
          <w:marRight w:val="0"/>
          <w:marTop w:val="0"/>
          <w:marBottom w:val="0"/>
          <w:divBdr>
            <w:top w:val="none" w:sz="0" w:space="0" w:color="auto"/>
            <w:left w:val="none" w:sz="0" w:space="0" w:color="auto"/>
            <w:bottom w:val="none" w:sz="0" w:space="0" w:color="auto"/>
            <w:right w:val="none" w:sz="0" w:space="0" w:color="auto"/>
          </w:divBdr>
        </w:div>
        <w:div w:id="1167330092">
          <w:marLeft w:val="0"/>
          <w:marRight w:val="0"/>
          <w:marTop w:val="0"/>
          <w:marBottom w:val="0"/>
          <w:divBdr>
            <w:top w:val="none" w:sz="0" w:space="0" w:color="auto"/>
            <w:left w:val="none" w:sz="0" w:space="0" w:color="auto"/>
            <w:bottom w:val="none" w:sz="0" w:space="0" w:color="auto"/>
            <w:right w:val="none" w:sz="0" w:space="0" w:color="auto"/>
          </w:divBdr>
        </w:div>
        <w:div w:id="1261060815">
          <w:marLeft w:val="0"/>
          <w:marRight w:val="0"/>
          <w:marTop w:val="0"/>
          <w:marBottom w:val="0"/>
          <w:divBdr>
            <w:top w:val="none" w:sz="0" w:space="0" w:color="auto"/>
            <w:left w:val="none" w:sz="0" w:space="0" w:color="auto"/>
            <w:bottom w:val="none" w:sz="0" w:space="0" w:color="auto"/>
            <w:right w:val="none" w:sz="0" w:space="0" w:color="auto"/>
          </w:divBdr>
        </w:div>
        <w:div w:id="1268805562">
          <w:marLeft w:val="0"/>
          <w:marRight w:val="0"/>
          <w:marTop w:val="0"/>
          <w:marBottom w:val="0"/>
          <w:divBdr>
            <w:top w:val="none" w:sz="0" w:space="0" w:color="auto"/>
            <w:left w:val="none" w:sz="0" w:space="0" w:color="auto"/>
            <w:bottom w:val="none" w:sz="0" w:space="0" w:color="auto"/>
            <w:right w:val="none" w:sz="0" w:space="0" w:color="auto"/>
          </w:divBdr>
        </w:div>
        <w:div w:id="1304894582">
          <w:marLeft w:val="0"/>
          <w:marRight w:val="0"/>
          <w:marTop w:val="0"/>
          <w:marBottom w:val="0"/>
          <w:divBdr>
            <w:top w:val="none" w:sz="0" w:space="0" w:color="auto"/>
            <w:left w:val="none" w:sz="0" w:space="0" w:color="auto"/>
            <w:bottom w:val="none" w:sz="0" w:space="0" w:color="auto"/>
            <w:right w:val="none" w:sz="0" w:space="0" w:color="auto"/>
          </w:divBdr>
        </w:div>
        <w:div w:id="1308121784">
          <w:marLeft w:val="0"/>
          <w:marRight w:val="0"/>
          <w:marTop w:val="0"/>
          <w:marBottom w:val="0"/>
          <w:divBdr>
            <w:top w:val="none" w:sz="0" w:space="0" w:color="auto"/>
            <w:left w:val="none" w:sz="0" w:space="0" w:color="auto"/>
            <w:bottom w:val="none" w:sz="0" w:space="0" w:color="auto"/>
            <w:right w:val="none" w:sz="0" w:space="0" w:color="auto"/>
          </w:divBdr>
        </w:div>
        <w:div w:id="1312371517">
          <w:marLeft w:val="0"/>
          <w:marRight w:val="0"/>
          <w:marTop w:val="0"/>
          <w:marBottom w:val="0"/>
          <w:divBdr>
            <w:top w:val="none" w:sz="0" w:space="0" w:color="auto"/>
            <w:left w:val="none" w:sz="0" w:space="0" w:color="auto"/>
            <w:bottom w:val="none" w:sz="0" w:space="0" w:color="auto"/>
            <w:right w:val="none" w:sz="0" w:space="0" w:color="auto"/>
          </w:divBdr>
        </w:div>
        <w:div w:id="1380592490">
          <w:marLeft w:val="0"/>
          <w:marRight w:val="0"/>
          <w:marTop w:val="0"/>
          <w:marBottom w:val="0"/>
          <w:divBdr>
            <w:top w:val="none" w:sz="0" w:space="0" w:color="auto"/>
            <w:left w:val="none" w:sz="0" w:space="0" w:color="auto"/>
            <w:bottom w:val="none" w:sz="0" w:space="0" w:color="auto"/>
            <w:right w:val="none" w:sz="0" w:space="0" w:color="auto"/>
          </w:divBdr>
        </w:div>
        <w:div w:id="1419523054">
          <w:marLeft w:val="0"/>
          <w:marRight w:val="0"/>
          <w:marTop w:val="0"/>
          <w:marBottom w:val="0"/>
          <w:divBdr>
            <w:top w:val="none" w:sz="0" w:space="0" w:color="auto"/>
            <w:left w:val="none" w:sz="0" w:space="0" w:color="auto"/>
            <w:bottom w:val="none" w:sz="0" w:space="0" w:color="auto"/>
            <w:right w:val="none" w:sz="0" w:space="0" w:color="auto"/>
          </w:divBdr>
        </w:div>
        <w:div w:id="1459253794">
          <w:marLeft w:val="0"/>
          <w:marRight w:val="0"/>
          <w:marTop w:val="0"/>
          <w:marBottom w:val="0"/>
          <w:divBdr>
            <w:top w:val="none" w:sz="0" w:space="0" w:color="auto"/>
            <w:left w:val="none" w:sz="0" w:space="0" w:color="auto"/>
            <w:bottom w:val="none" w:sz="0" w:space="0" w:color="auto"/>
            <w:right w:val="none" w:sz="0" w:space="0" w:color="auto"/>
          </w:divBdr>
        </w:div>
        <w:div w:id="1467893310">
          <w:marLeft w:val="0"/>
          <w:marRight w:val="0"/>
          <w:marTop w:val="0"/>
          <w:marBottom w:val="0"/>
          <w:divBdr>
            <w:top w:val="none" w:sz="0" w:space="0" w:color="auto"/>
            <w:left w:val="none" w:sz="0" w:space="0" w:color="auto"/>
            <w:bottom w:val="none" w:sz="0" w:space="0" w:color="auto"/>
            <w:right w:val="none" w:sz="0" w:space="0" w:color="auto"/>
          </w:divBdr>
        </w:div>
        <w:div w:id="1492480040">
          <w:marLeft w:val="0"/>
          <w:marRight w:val="0"/>
          <w:marTop w:val="0"/>
          <w:marBottom w:val="0"/>
          <w:divBdr>
            <w:top w:val="none" w:sz="0" w:space="0" w:color="auto"/>
            <w:left w:val="none" w:sz="0" w:space="0" w:color="auto"/>
            <w:bottom w:val="none" w:sz="0" w:space="0" w:color="auto"/>
            <w:right w:val="none" w:sz="0" w:space="0" w:color="auto"/>
          </w:divBdr>
        </w:div>
        <w:div w:id="1758860431">
          <w:marLeft w:val="0"/>
          <w:marRight w:val="0"/>
          <w:marTop w:val="0"/>
          <w:marBottom w:val="0"/>
          <w:divBdr>
            <w:top w:val="none" w:sz="0" w:space="0" w:color="auto"/>
            <w:left w:val="none" w:sz="0" w:space="0" w:color="auto"/>
            <w:bottom w:val="none" w:sz="0" w:space="0" w:color="auto"/>
            <w:right w:val="none" w:sz="0" w:space="0" w:color="auto"/>
          </w:divBdr>
        </w:div>
        <w:div w:id="1833985488">
          <w:marLeft w:val="0"/>
          <w:marRight w:val="0"/>
          <w:marTop w:val="0"/>
          <w:marBottom w:val="0"/>
          <w:divBdr>
            <w:top w:val="none" w:sz="0" w:space="0" w:color="auto"/>
            <w:left w:val="none" w:sz="0" w:space="0" w:color="auto"/>
            <w:bottom w:val="none" w:sz="0" w:space="0" w:color="auto"/>
            <w:right w:val="none" w:sz="0" w:space="0" w:color="auto"/>
          </w:divBdr>
        </w:div>
        <w:div w:id="1857646464">
          <w:marLeft w:val="0"/>
          <w:marRight w:val="0"/>
          <w:marTop w:val="0"/>
          <w:marBottom w:val="0"/>
          <w:divBdr>
            <w:top w:val="none" w:sz="0" w:space="0" w:color="auto"/>
            <w:left w:val="none" w:sz="0" w:space="0" w:color="auto"/>
            <w:bottom w:val="none" w:sz="0" w:space="0" w:color="auto"/>
            <w:right w:val="none" w:sz="0" w:space="0" w:color="auto"/>
          </w:divBdr>
        </w:div>
        <w:div w:id="1865361563">
          <w:marLeft w:val="0"/>
          <w:marRight w:val="0"/>
          <w:marTop w:val="0"/>
          <w:marBottom w:val="0"/>
          <w:divBdr>
            <w:top w:val="none" w:sz="0" w:space="0" w:color="auto"/>
            <w:left w:val="none" w:sz="0" w:space="0" w:color="auto"/>
            <w:bottom w:val="none" w:sz="0" w:space="0" w:color="auto"/>
            <w:right w:val="none" w:sz="0" w:space="0" w:color="auto"/>
          </w:divBdr>
        </w:div>
        <w:div w:id="1986815901">
          <w:marLeft w:val="0"/>
          <w:marRight w:val="0"/>
          <w:marTop w:val="0"/>
          <w:marBottom w:val="0"/>
          <w:divBdr>
            <w:top w:val="none" w:sz="0" w:space="0" w:color="auto"/>
            <w:left w:val="none" w:sz="0" w:space="0" w:color="auto"/>
            <w:bottom w:val="none" w:sz="0" w:space="0" w:color="auto"/>
            <w:right w:val="none" w:sz="0" w:space="0" w:color="auto"/>
          </w:divBdr>
        </w:div>
        <w:div w:id="2015961650">
          <w:marLeft w:val="0"/>
          <w:marRight w:val="0"/>
          <w:marTop w:val="0"/>
          <w:marBottom w:val="0"/>
          <w:divBdr>
            <w:top w:val="none" w:sz="0" w:space="0" w:color="auto"/>
            <w:left w:val="none" w:sz="0" w:space="0" w:color="auto"/>
            <w:bottom w:val="none" w:sz="0" w:space="0" w:color="auto"/>
            <w:right w:val="none" w:sz="0" w:space="0" w:color="auto"/>
          </w:divBdr>
        </w:div>
        <w:div w:id="2025939940">
          <w:marLeft w:val="0"/>
          <w:marRight w:val="0"/>
          <w:marTop w:val="0"/>
          <w:marBottom w:val="0"/>
          <w:divBdr>
            <w:top w:val="none" w:sz="0" w:space="0" w:color="auto"/>
            <w:left w:val="none" w:sz="0" w:space="0" w:color="auto"/>
            <w:bottom w:val="none" w:sz="0" w:space="0" w:color="auto"/>
            <w:right w:val="none" w:sz="0" w:space="0" w:color="auto"/>
          </w:divBdr>
        </w:div>
        <w:div w:id="2067753024">
          <w:marLeft w:val="0"/>
          <w:marRight w:val="0"/>
          <w:marTop w:val="0"/>
          <w:marBottom w:val="0"/>
          <w:divBdr>
            <w:top w:val="none" w:sz="0" w:space="0" w:color="auto"/>
            <w:left w:val="none" w:sz="0" w:space="0" w:color="auto"/>
            <w:bottom w:val="none" w:sz="0" w:space="0" w:color="auto"/>
            <w:right w:val="none" w:sz="0" w:space="0" w:color="auto"/>
          </w:divBdr>
        </w:div>
        <w:div w:id="2092849003">
          <w:marLeft w:val="0"/>
          <w:marRight w:val="0"/>
          <w:marTop w:val="0"/>
          <w:marBottom w:val="0"/>
          <w:divBdr>
            <w:top w:val="none" w:sz="0" w:space="0" w:color="auto"/>
            <w:left w:val="none" w:sz="0" w:space="0" w:color="auto"/>
            <w:bottom w:val="none" w:sz="0" w:space="0" w:color="auto"/>
            <w:right w:val="none" w:sz="0" w:space="0" w:color="auto"/>
          </w:divBdr>
        </w:div>
        <w:div w:id="2127579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pr.banque-france.fr/fileadmin/user_upload/acp/publications/registre-officiel/201512-Lignes-directrices-ACPR-Tracfin-obligations-declar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pr.banque-france.fr/sites/default/files/media/2021/06/23/20210616_lignes_directrices_gel_des_avoir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affichCodeArticle.do?cidTexte=LEGITEXT000006072026&amp;idArticle=LEGIARTI000020191252&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B493-49CC-414F-A09E-3A3ABD03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2883</Words>
  <Characters>15860</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giron</dc:creator>
  <cp:keywords/>
  <dc:description/>
  <cp:lastModifiedBy>MAHIEU Stéphane (SGACPR LCB-FT)</cp:lastModifiedBy>
  <cp:revision>2</cp:revision>
  <cp:lastPrinted>2018-06-08T08:17:00Z</cp:lastPrinted>
  <dcterms:created xsi:type="dcterms:W3CDTF">2024-03-22T16:20:00Z</dcterms:created>
  <dcterms:modified xsi:type="dcterms:W3CDTF">2024-03-22T16:20:00Z</dcterms:modified>
</cp:coreProperties>
</file>